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Arial" w:hAnsi="Arial" w:cs="Arial"/>
                <w:b/>
                <w:bCs/>
                <w:sz w:val="18"/>
                <w:szCs w:val="18"/>
                <w:lang w:val="en-US"/>
              </w:rPr>
            </w:pPr>
            <w:r>
              <w:rPr>
                <w:rFonts w:ascii="Arial" w:hAnsi="Arial" w:cs="Arial"/>
                <w:b/>
                <w:bCs/>
                <w:sz w:val="18"/>
                <w:szCs w:val="18"/>
                <w:lang w:val="en-US"/>
              </w:rPr>
              <w:t xml:space="preserve">APPROVED by</w:t>
            </w:r>
          </w:p>
        </w:tc>
        <w:tc>
          <w:tcPr>
            <w:tcW w:type="dxa" w:w="8402"/>
            <w:tcBorders/>
          </w:tcPr>
          <w:p>
            <w:pPr>
              <w:spacing/>
              <w:rPr>
                <w:rFonts w:ascii="Arial" w:hAnsi="Arial" w:cs="Arial"/>
                <w:sz w:val="18"/>
                <w:szCs w:val="18"/>
              </w:rPr>
            </w:pPr>
          </w:p>
        </w:tc>
        <w:tc>
          <w:tcPr>
            <w:tcW w:type="dxa" w:w="2819"/>
            <w:tcBorders/>
          </w:tcPr>
          <w:p>
            <w:pPr>
              <w:spacing/>
              <w:rPr>
                <w:rFonts w:ascii="Arial" w:hAnsi="Arial" w:cs="Arial"/>
                <w:sz w:val="18"/>
                <w:szCs w:val="18"/>
              </w:rPr>
            </w:pPr>
            <w:r>
              <w:rPr>
                <w:rFonts w:ascii="Arial" w:hAnsi="Arial" w:cs="Arial"/>
                <w:b/>
                <w:color w:val="000000"/>
                <w:sz w:val="18"/>
                <w:szCs w:val="18"/>
                <w:lang w:eastAsia="en-US"/>
              </w:rPr>
              <w:t xml:space="preserve">PATVIRTINTA</w:t>
            </w:r>
          </w:p>
        </w:tc>
        <w:tc>
          <w:tcPr>
            <w:tcW w:type="dxa" w:w="565"/>
            <w:tcBorders/>
          </w:tcPr>
          <w:p>
            <w:pPr>
              <w:spacing/>
              <w:rPr>
                <w:rFonts w:ascii="Arial" w:hAnsi="Arial" w:cs="Arial"/>
                <w:sz w:val="18"/>
                <w:szCs w:val="18"/>
              </w:rPr>
            </w:pPr>
          </w:p>
        </w:tc>
      </w:tr>
      <w:tr>
        <w:trPr/>
        <w:tc>
          <w:tcPr>
            <w:tcW w:type="dxa" w:w="3377"/>
            <w:tcBorders/>
          </w:tcPr>
          <w:p>
            <w:pPr>
              <w:spacing/>
              <w:rPr>
                <w:rFonts w:ascii="Arial" w:hAnsi="Arial" w:cs="Arial"/>
                <w:sz w:val="18"/>
                <w:szCs w:val="18"/>
                <w:lang w:val="en-US"/>
              </w:rPr>
            </w:pPr>
            <w:r>
              <w:rPr>
                <w:rFonts w:ascii="Arial" w:hAnsi="Arial" w:cs="Arial"/>
                <w:sz w:val="18"/>
                <w:szCs w:val="18"/>
                <w:lang w:val="en-US"/>
              </w:rPr>
              <w:t xml:space="preserve">LITGRID AB </w:t>
            </w:r>
            <w:r>
              <w:rPr>
                <w:rFonts w:ascii="Arial" w:hAnsi="Arial" w:cs="Arial"/>
                <w:sz w:val="18"/>
                <w:szCs w:val="18"/>
                <w:lang w:val="en-US"/>
              </w:rPr>
              <w:t xml:space="preserve">202</w:t>
            </w:r>
            <w:r>
              <w:rPr>
                <w:rFonts w:ascii="Arial" w:hAnsi="Arial" w:cs="Arial"/>
                <w:sz w:val="18"/>
                <w:szCs w:val="18"/>
                <w:lang w:val="en-US"/>
              </w:rPr>
              <w:t xml:space="preserve">3</w:t>
            </w:r>
          </w:p>
        </w:tc>
        <w:tc>
          <w:tcPr>
            <w:tcW w:type="dxa" w:w="8402"/>
            <w:tcBorders/>
          </w:tcPr>
          <w:p>
            <w:pPr>
              <w:spacing/>
              <w:rPr>
                <w:rFonts w:ascii="Arial" w:hAnsi="Arial" w:cs="Arial"/>
                <w:sz w:val="18"/>
                <w:szCs w:val="18"/>
              </w:rPr>
            </w:pPr>
          </w:p>
        </w:tc>
        <w:tc>
          <w:tcPr>
            <w:tcW w:type="dxa" w:w="2819"/>
            <w:tcBorders/>
          </w:tcPr>
          <w:p>
            <w:pPr>
              <w:spacing/>
              <w:rPr>
                <w:rFonts w:ascii="Arial" w:hAnsi="Arial" w:cs="Arial"/>
                <w:sz w:val="18"/>
                <w:szCs w:val="18"/>
              </w:rPr>
            </w:pPr>
            <w:r>
              <w:rPr>
                <w:rFonts w:ascii="Arial" w:hAnsi="Arial" w:cs="Arial"/>
                <w:color w:val="000000"/>
                <w:sz w:val="18"/>
                <w:szCs w:val="18"/>
                <w:lang w:eastAsia="en-US"/>
              </w:rPr>
              <w:t xml:space="preserve">LITGRID AB </w:t>
            </w:r>
            <w:r>
              <w:rPr>
                <w:rFonts w:ascii="Arial" w:hAnsi="Arial" w:cs="Arial"/>
                <w:color w:val="000000"/>
                <w:sz w:val="18"/>
                <w:szCs w:val="18"/>
                <w:lang w:eastAsia="en-US"/>
              </w:rPr>
              <w:t xml:space="preserve">202</w:t>
            </w:r>
            <w:r>
              <w:rPr>
                <w:rFonts w:ascii="Arial" w:hAnsi="Arial" w:cs="Arial"/>
                <w:color w:val="000000"/>
                <w:sz w:val="18"/>
                <w:szCs w:val="18"/>
                <w:lang w:eastAsia="en-US"/>
              </w:rPr>
              <w:t xml:space="preserve">4</w:t>
            </w:r>
          </w:p>
        </w:tc>
        <w:tc>
          <w:tcPr>
            <w:tcW w:type="dxa" w:w="565"/>
            <w:tcBorders/>
          </w:tcPr>
          <w:p>
            <w:pPr>
              <w:spacing/>
              <w:rPr>
                <w:rFonts w:ascii="Arial" w:hAnsi="Arial" w:cs="Arial"/>
                <w:sz w:val="18"/>
                <w:szCs w:val="18"/>
              </w:rPr>
            </w:pPr>
          </w:p>
        </w:tc>
      </w:tr>
      <w:tr>
        <w:trPr/>
        <w:tc>
          <w:tcPr>
            <w:tcW w:type="dxa" w:w="3377"/>
            <w:tcBorders>
              <w:bottom w:val="single" w:color="auto" w:sz="4" w:space="0"/>
            </w:tcBorders>
          </w:tcPr>
          <w:p>
            <w:pPr>
              <w:spacing/>
              <w:rPr>
                <w:rFonts w:ascii="Arial" w:hAnsi="Arial" w:cs="Arial"/>
                <w:sz w:val="18"/>
                <w:szCs w:val="18"/>
                <w:lang w:val="en-US"/>
              </w:rPr>
            </w:pPr>
            <w:r>
              <w:rPr>
                <w:rFonts w:ascii="Arial" w:hAnsi="Arial" w:cs="Arial"/>
                <w:sz w:val="18"/>
                <w:szCs w:val="18"/>
                <w:lang w:val="en-US"/>
              </w:rPr>
              <w:t xml:space="preserve">May 06</w:t>
            </w:r>
          </w:p>
        </w:tc>
        <w:tc>
          <w:tcPr>
            <w:tcW w:type="dxa" w:w="8402"/>
            <w:tcBorders/>
          </w:tcPr>
          <w:p>
            <w:pPr>
              <w:spacing/>
              <w:rPr>
                <w:rFonts w:ascii="Arial" w:hAnsi="Arial" w:cs="Arial"/>
                <w:sz w:val="18"/>
                <w:szCs w:val="18"/>
              </w:rPr>
            </w:pPr>
          </w:p>
        </w:tc>
        <w:tc>
          <w:tcPr>
            <w:tcW w:type="dxa" w:w="2819"/>
            <w:tcBorders>
              <w:bottom w:val="single" w:color="auto" w:sz="4" w:space="0"/>
            </w:tcBorders>
          </w:tcPr>
          <w:p>
            <w:pPr>
              <w:spacing/>
              <w:rPr>
                <w:rFonts w:ascii="Arial" w:hAnsi="Arial" w:cs="Arial"/>
                <w:sz w:val="18"/>
                <w:szCs w:val="18"/>
              </w:rPr>
            </w:pPr>
            <w:r>
              <w:rPr>
                <w:rFonts w:ascii="Arial" w:hAnsi="Arial" w:cs="Arial"/>
                <w:sz w:val="18"/>
                <w:szCs w:val="18"/>
              </w:rPr>
              <w:t xml:space="preserve">Gegužės 06 d.</w:t>
            </w:r>
          </w:p>
        </w:tc>
        <w:tc>
          <w:tcPr>
            <w:tcW w:type="dxa" w:w="565"/>
            <w:tcBorders/>
          </w:tcPr>
          <w:p>
            <w:pPr>
              <w:spacing/>
              <w:rPr>
                <w:rFonts w:ascii="Arial" w:hAnsi="Arial" w:cs="Arial"/>
                <w:sz w:val="18"/>
                <w:szCs w:val="18"/>
              </w:rPr>
            </w:pPr>
          </w:p>
        </w:tc>
      </w:tr>
      <w:tr>
        <w:trPr/>
        <w:tc>
          <w:tcPr>
            <w:tcW w:type="dxa" w:w="3377"/>
            <w:tcBorders>
              <w:top w:val="single" w:color="auto" w:sz="4" w:space="0"/>
            </w:tcBorders>
          </w:tcPr>
          <w:p>
            <w:pPr>
              <w:spacing/>
              <w:rPr>
                <w:rFonts w:ascii="Arial" w:hAnsi="Arial" w:cs="Arial"/>
                <w:sz w:val="18"/>
                <w:szCs w:val="18"/>
                <w:lang w:val="en-US"/>
              </w:rPr>
            </w:pPr>
            <w:r>
              <w:rPr>
                <w:rFonts w:ascii="Arial" w:hAnsi="Arial" w:cs="Arial"/>
                <w:sz w:val="18"/>
                <w:szCs w:val="18"/>
                <w:lang w:val="en-US"/>
              </w:rPr>
              <w:t xml:space="preserve">Transmission grid department</w:t>
            </w:r>
          </w:p>
        </w:tc>
        <w:tc>
          <w:tcPr>
            <w:tcW w:type="dxa" w:w="8402"/>
            <w:tcBorders/>
          </w:tcPr>
          <w:p>
            <w:pPr>
              <w:spacing/>
              <w:rPr>
                <w:rFonts w:ascii="Arial" w:hAnsi="Arial" w:cs="Arial"/>
                <w:sz w:val="18"/>
                <w:szCs w:val="18"/>
              </w:rPr>
            </w:pPr>
          </w:p>
        </w:tc>
        <w:tc>
          <w:tcPr>
            <w:tcW w:type="dxa" w:w="3384"/>
            <w:gridSpan w:val="2"/>
            <w:tcBorders/>
          </w:tcPr>
          <w:p>
            <w:pPr>
              <w:spacing/>
              <w:rPr>
                <w:rFonts w:ascii="Arial" w:hAnsi="Arial" w:cs="Arial"/>
                <w:sz w:val="18"/>
                <w:szCs w:val="18"/>
              </w:rPr>
            </w:pPr>
            <w:r>
              <w:rPr>
                <w:rFonts w:ascii="Arial" w:hAnsi="Arial" w:cs="Arial"/>
                <w:color w:val="000000"/>
                <w:sz w:val="18"/>
                <w:szCs w:val="18"/>
                <w:lang w:eastAsia="en-US"/>
              </w:rPr>
              <w:t xml:space="preserve">Perdavimo tinklo departamento</w:t>
            </w:r>
          </w:p>
        </w:tc>
      </w:tr>
      <w:tr>
        <w:trPr/>
        <w:tc>
          <w:tcPr>
            <w:tcW w:type="dxa" w:w="3377"/>
            <w:tcBorders/>
          </w:tcPr>
          <w:p>
            <w:pPr>
              <w:spacing/>
              <w:rPr>
                <w:rFonts w:ascii="Arial" w:hAnsi="Arial" w:cs="Arial"/>
                <w:sz w:val="18"/>
                <w:szCs w:val="18"/>
                <w:lang w:val="en-US"/>
              </w:rPr>
            </w:pPr>
            <w:r>
              <w:rPr>
                <w:rFonts w:ascii="Arial" w:hAnsi="Arial" w:cs="Arial"/>
                <w:sz w:val="18"/>
                <w:szCs w:val="18"/>
                <w:lang w:val="en-US"/>
              </w:rPr>
              <w:t xml:space="preserve">director direction No. </w:t>
            </w:r>
            <w:r>
              <w:rPr>
                <w:rFonts w:ascii="Arial" w:hAnsi="Arial" w:cs="Arial"/>
                <w:color w:val="000000"/>
                <w:sz w:val="18"/>
                <w:szCs w:val="18"/>
                <w:lang w:eastAsia="en-US"/>
              </w:rPr>
              <w:t xml:space="preserve">2</w:t>
            </w:r>
            <w:r>
              <w:rPr>
                <w:rFonts w:ascii="Arial" w:hAnsi="Arial" w:cs="Arial"/>
                <w:color w:val="000000"/>
                <w:sz w:val="18"/>
                <w:szCs w:val="18"/>
                <w:lang w:val="en-US" w:eastAsia="en-US"/>
              </w:rPr>
              <w:t xml:space="preserve">4</w:t>
            </w:r>
            <w:r>
              <w:rPr>
                <w:rFonts w:ascii="Arial" w:hAnsi="Arial" w:cs="Arial"/>
                <w:color w:val="000000"/>
                <w:sz w:val="18"/>
                <w:szCs w:val="18"/>
                <w:lang w:eastAsia="en-US"/>
              </w:rPr>
              <w:t xml:space="preserve">NU-185</w:t>
            </w:r>
          </w:p>
        </w:tc>
        <w:tc>
          <w:tcPr>
            <w:tcW w:type="dxa" w:w="8402"/>
            <w:tcBorders/>
          </w:tcPr>
          <w:p>
            <w:pPr>
              <w:spacing/>
              <w:rPr>
                <w:rFonts w:ascii="Arial" w:hAnsi="Arial" w:cs="Arial"/>
                <w:sz w:val="18"/>
                <w:szCs w:val="18"/>
              </w:rPr>
            </w:pPr>
          </w:p>
        </w:tc>
        <w:tc>
          <w:tcPr>
            <w:tcW w:type="dxa" w:w="3384"/>
            <w:gridSpan w:val="2"/>
            <w:tcBorders/>
          </w:tcPr>
          <w:p>
            <w:pPr>
              <w:spacing/>
              <w:rPr>
                <w:rFonts w:ascii="Arial" w:hAnsi="Arial" w:cs="Arial"/>
                <w:sz w:val="18"/>
                <w:szCs w:val="18"/>
              </w:rPr>
            </w:pPr>
            <w:r>
              <w:rPr>
                <w:rFonts w:ascii="Arial" w:hAnsi="Arial" w:cs="Arial"/>
                <w:color w:val="000000"/>
                <w:sz w:val="18"/>
                <w:szCs w:val="18"/>
                <w:lang w:eastAsia="en-US"/>
              </w:rPr>
              <w:t xml:space="preserve">direktoriaus nurodymu Nr. </w:t>
            </w:r>
            <w:r>
              <w:rPr>
                <w:rFonts w:ascii="Arial" w:hAnsi="Arial" w:cs="Arial"/>
                <w:color w:val="000000"/>
                <w:sz w:val="18"/>
                <w:szCs w:val="18"/>
                <w:lang w:eastAsia="en-US"/>
              </w:rPr>
              <w:t xml:space="preserve">2</w:t>
            </w:r>
            <w:r>
              <w:rPr>
                <w:rFonts w:ascii="Arial" w:hAnsi="Arial" w:cs="Arial"/>
                <w:color w:val="000000"/>
                <w:sz w:val="18"/>
                <w:szCs w:val="18"/>
                <w:lang w:val="en-US" w:eastAsia="en-US"/>
              </w:rPr>
              <w:t xml:space="preserve">4</w:t>
            </w:r>
            <w:r>
              <w:rPr>
                <w:rFonts w:ascii="Arial" w:hAnsi="Arial" w:cs="Arial"/>
                <w:color w:val="000000"/>
                <w:sz w:val="18"/>
                <w:szCs w:val="18"/>
                <w:lang w:eastAsia="en-US"/>
              </w:rPr>
              <w:t xml:space="preserve">NU-185</w:t>
            </w:r>
          </w:p>
        </w:tc>
      </w:tr>
    </w:tbl>
    <w:p w14:paraId="51209D23">
      <w:pPr>
        <w:spacing/>
        <w:rPr>
          <w:rFonts w:ascii="Arial" w:hAnsi="Arial" w:cs="Arial"/>
          <w:b/>
          <w:color w:val="000000"/>
          <w:sz w:val="18"/>
          <w:szCs w:val="18"/>
        </w:rPr>
      </w:pPr>
    </w:p>
    <w:p w14:paraId="53BC6747">
      <w:pPr>
        <w:spacing/>
        <w:jc w:val="center"/>
        <w:rPr>
          <w:rFonts w:ascii="Arial" w:hAnsi="Arial" w:cs="Arial"/>
          <w:b/>
          <w:color w:val="000000"/>
          <w:sz w:val="18"/>
          <w:szCs w:val="18"/>
        </w:rPr>
      </w:pPr>
      <w:r>
        <w:rPr>
          <w:rFonts w:ascii="Arial" w:hAnsi="Arial" w:cs="Arial"/>
          <w:b/>
          <w:color w:val="000000"/>
          <w:sz w:val="18"/>
          <w:szCs w:val="18"/>
        </w:rPr>
        <w:t xml:space="preserve">STANDARTINIAI </w:t>
      </w:r>
      <w:r>
        <w:rPr>
          <w:rFonts w:ascii="Arial" w:hAnsi="Arial" w:cs="Arial"/>
          <w:b/>
          <w:color w:val="000000"/>
          <w:sz w:val="18"/>
          <w:szCs w:val="18"/>
        </w:rPr>
        <w:t xml:space="preserve">TECHNINIAI REIKALAVIMAI</w:t>
      </w:r>
      <w:r>
        <w:rPr>
          <w:rFonts w:ascii="Arial" w:hAnsi="Arial" w:cs="Arial"/>
          <w:b/>
          <w:color w:val="000000"/>
          <w:sz w:val="18"/>
          <w:szCs w:val="18"/>
        </w:rPr>
        <w:t xml:space="preserve"> </w:t>
      </w:r>
      <w:r>
        <w:rPr>
          <w:rFonts w:ascii="Arial" w:hAnsi="Arial" w:cs="Arial"/>
          <w:b/>
          <w:color w:val="000000"/>
          <w:sz w:val="18"/>
          <w:szCs w:val="18"/>
        </w:rPr>
        <w:t xml:space="preserve">33</w:t>
      </w:r>
      <w:r>
        <w:rPr>
          <w:rFonts w:ascii="Arial" w:hAnsi="Arial" w:cs="Arial"/>
          <w:b/>
          <w:color w:val="000000"/>
          <w:sz w:val="18"/>
          <w:szCs w:val="18"/>
        </w:rPr>
        <w:t xml:space="preserve">0 kV MATAVIMO TRANSFORMATORIAMS</w:t>
      </w:r>
      <w:r>
        <w:rPr>
          <w:rFonts w:ascii="Arial" w:hAnsi="Arial" w:cs="Arial"/>
          <w:b/>
          <w:color w:val="000000"/>
          <w:sz w:val="18"/>
          <w:szCs w:val="18"/>
        </w:rPr>
        <w:t xml:space="preserve"> </w:t>
      </w:r>
      <w:r>
        <w:rPr>
          <w:rFonts w:ascii="Arial" w:hAnsi="Arial" w:cs="Arial"/>
          <w:b/>
          <w:color w:val="000000"/>
          <w:sz w:val="18"/>
          <w:szCs w:val="18"/>
        </w:rPr>
        <w:t xml:space="preserve">/</w:t>
      </w:r>
    </w:p>
    <w:p w14:paraId="6B391EA1">
      <w:pPr>
        <w:spacing/>
        <w:jc w:val="center"/>
        <w:rPr>
          <w:rFonts w:ascii="Arial" w:hAnsi="Arial" w:cs="Arial"/>
          <w:b/>
          <w:color w:val="000000"/>
          <w:sz w:val="18"/>
          <w:szCs w:val="18"/>
          <w:lang w:val="en-GB"/>
        </w:rPr>
      </w:pPr>
      <w:r>
        <w:rPr>
          <w:rFonts w:ascii="Arial" w:hAnsi="Arial" w:cs="Arial"/>
          <w:b/>
          <w:color w:val="000000"/>
          <w:sz w:val="18"/>
          <w:szCs w:val="18"/>
        </w:rPr>
        <w:t xml:space="preserve">STANDARD </w:t>
      </w:r>
      <w:r>
        <w:rPr>
          <w:rFonts w:ascii="Arial" w:hAnsi="Arial" w:cs="Arial"/>
          <w:b/>
          <w:color w:val="000000"/>
          <w:sz w:val="18"/>
          <w:szCs w:val="18"/>
          <w:lang w:val="en-GB"/>
        </w:rPr>
        <w:t xml:space="preserve">TECHNICAL REQUIREMENTS FOR </w:t>
      </w:r>
      <w:r>
        <w:rPr>
          <w:rFonts w:ascii="Arial" w:hAnsi="Arial" w:cs="Arial"/>
          <w:b/>
          <w:color w:val="000000"/>
          <w:sz w:val="18"/>
          <w:szCs w:val="18"/>
          <w:lang w:val="en-GB"/>
        </w:rPr>
        <w:t xml:space="preserve">33</w:t>
      </w:r>
      <w:r>
        <w:rPr>
          <w:rFonts w:ascii="Arial" w:hAnsi="Arial" w:cs="Arial"/>
          <w:b/>
          <w:color w:val="000000"/>
          <w:sz w:val="18"/>
          <w:szCs w:val="18"/>
          <w:lang w:val="en-GB"/>
        </w:rPr>
        <w:t xml:space="preserve">0 kV INSTRUMENT TRANSFORMERS</w:t>
      </w:r>
      <w:r>
        <w:rPr>
          <w:rFonts w:ascii="Arial" w:hAnsi="Arial" w:cs="Arial"/>
          <w:b/>
          <w:color w:val="000000"/>
          <w:sz w:val="18"/>
          <w:szCs w:val="18"/>
          <w:lang w:val="en-GB"/>
        </w:rPr>
        <w:t xml:space="preserve"> </w:t>
      </w:r>
    </w:p>
    <w:p w14:paraId="0958FB4E">
      <w:pPr>
        <w:spacing/>
        <w:rPr>
          <w:rFonts w:ascii="Arial" w:hAnsi="Arial" w:cs="Arial"/>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079"/>
        <w:gridCol w:w="3687"/>
        <w:gridCol w:w="3397"/>
      </w:tblGrid>
      <w:tr>
        <w:trPr>
          <w:cantSplit/>
        </w:trPr>
        <w:tc>
          <w:tcPr>
            <w:tcW w:type="dxa" w:w="8079"/>
            <w:vMerge w:val="restart"/>
            <w:tcBorders/>
            <w:vAlign w:val="center"/>
          </w:tcPr>
          <w:p>
            <w:pPr>
              <w:spacing/>
              <w:jc w:val="center"/>
              <w:rPr>
                <w:rFonts w:ascii="Arial" w:hAnsi="Arial" w:cs="Arial"/>
                <w:bCs/>
                <w:sz w:val="18"/>
                <w:szCs w:val="18"/>
              </w:rPr>
            </w:pPr>
            <w:r>
              <w:rPr>
                <w:rFonts w:ascii="Arial" w:hAnsi="Arial" w:cs="Arial"/>
                <w:bCs/>
                <w:sz w:val="18"/>
                <w:szCs w:val="18"/>
              </w:rPr>
              <w:t xml:space="preserve">MATAVIMO TRANSFORMATORIAI/</w:t>
            </w:r>
          </w:p>
          <w:p>
            <w:pPr>
              <w:spacing/>
              <w:jc w:val="center"/>
              <w:rPr>
                <w:rFonts w:ascii="Arial" w:hAnsi="Arial" w:cs="Arial"/>
                <w:bCs/>
                <w:sz w:val="18"/>
                <w:szCs w:val="18"/>
                <w:lang w:val="en-US"/>
              </w:rPr>
            </w:pPr>
            <w:r>
              <w:rPr>
                <w:rFonts w:ascii="Arial" w:hAnsi="Arial" w:cs="Arial"/>
                <w:bCs/>
                <w:sz w:val="18"/>
                <w:szCs w:val="18"/>
                <w:lang w:val="en-US"/>
              </w:rPr>
              <w:t xml:space="preserve">INSTRUMENT TRANSFORMERS</w:t>
            </w:r>
          </w:p>
        </w:tc>
        <w:tc>
          <w:tcPr>
            <w:tcW w:type="dxa" w:w="3687"/>
            <w:tcBorders/>
            <w:vAlign w:val="center"/>
          </w:tcPr>
          <w:p>
            <w:pPr>
              <w:spacing/>
              <w:rPr>
                <w:rFonts w:ascii="Arial" w:hAnsi="Arial" w:cs="Arial"/>
                <w:sz w:val="18"/>
                <w:szCs w:val="18"/>
              </w:rPr>
            </w:pPr>
            <w:r>
              <w:rPr>
                <w:rFonts w:ascii="Arial" w:hAnsi="Arial" w:cs="Arial"/>
                <w:sz w:val="18"/>
                <w:szCs w:val="18"/>
              </w:rPr>
              <w:t xml:space="preserve">Srovės transformatorių tipas/</w:t>
            </w:r>
          </w:p>
          <w:p>
            <w:pPr>
              <w:spacing/>
              <w:rPr>
                <w:rFonts w:ascii="Arial" w:hAnsi="Arial" w:cs="Arial"/>
                <w:sz w:val="18"/>
                <w:szCs w:val="18"/>
                <w:lang w:val="en-US"/>
              </w:rPr>
            </w:pPr>
            <w:r>
              <w:rPr>
                <w:rFonts w:ascii="Arial" w:hAnsi="Arial" w:cs="Arial"/>
                <w:sz w:val="18"/>
                <w:szCs w:val="18"/>
                <w:lang w:val="en-US"/>
              </w:rPr>
              <w:t xml:space="preserve">Type of current transformers</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Įtampos transformatorių tipas</w:t>
            </w:r>
          </w:p>
          <w:p>
            <w:pPr>
              <w:spacing/>
              <w:rPr>
                <w:rFonts w:ascii="Arial" w:hAnsi="Arial" w:cs="Arial"/>
                <w:sz w:val="18"/>
                <w:szCs w:val="18"/>
                <w:lang w:val="en-US"/>
              </w:rPr>
            </w:pPr>
            <w:r>
              <w:rPr>
                <w:rFonts w:ascii="Arial" w:hAnsi="Arial" w:cs="Arial"/>
                <w:sz w:val="18"/>
                <w:szCs w:val="18"/>
                <w:lang w:val="en-US"/>
              </w:rPr>
              <w:t xml:space="preserve">Type of voltage transformers</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Kombinuotų transformatorių tipas</w:t>
            </w:r>
          </w:p>
          <w:p>
            <w:pPr>
              <w:spacing/>
              <w:rPr>
                <w:rFonts w:ascii="Arial" w:hAnsi="Arial" w:cs="Arial"/>
                <w:sz w:val="18"/>
                <w:szCs w:val="18"/>
                <w:lang w:val="en-US"/>
              </w:rPr>
            </w:pPr>
            <w:r>
              <w:rPr>
                <w:rFonts w:ascii="Arial" w:hAnsi="Arial" w:cs="Arial"/>
                <w:sz w:val="18"/>
                <w:szCs w:val="18"/>
                <w:lang w:val="en-US"/>
              </w:rPr>
              <w:t xml:space="preserve">Type of combined transformers</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Gamintojas/</w:t>
            </w:r>
          </w:p>
          <w:p>
            <w:pPr>
              <w:spacing/>
              <w:rPr>
                <w:rFonts w:ascii="Arial" w:hAnsi="Arial" w:cs="Arial"/>
                <w:sz w:val="18"/>
                <w:szCs w:val="18"/>
                <w:lang w:val="en-US"/>
              </w:rPr>
            </w:pPr>
            <w:r>
              <w:rPr>
                <w:rFonts w:ascii="Arial" w:hAnsi="Arial" w:cs="Arial"/>
                <w:sz w:val="18"/>
                <w:szCs w:val="18"/>
                <w:lang w:val="en-US"/>
              </w:rPr>
              <w:t xml:space="preserve">Manufacturer</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Pagaminimo šalis</w:t>
            </w:r>
          </w:p>
          <w:p>
            <w:pPr>
              <w:spacing/>
              <w:rPr>
                <w:rFonts w:ascii="Arial" w:hAnsi="Arial" w:cs="Arial"/>
                <w:sz w:val="18"/>
                <w:szCs w:val="18"/>
                <w:lang w:val="en-US"/>
              </w:rPr>
            </w:pPr>
            <w:r>
              <w:rPr>
                <w:rFonts w:ascii="Arial" w:hAnsi="Arial" w:cs="Arial"/>
                <w:sz w:val="18"/>
                <w:szCs w:val="18"/>
                <w:lang w:val="en-US"/>
              </w:rPr>
              <w:t xml:space="preserve">Country of production</w:t>
            </w:r>
          </w:p>
        </w:tc>
        <w:tc>
          <w:tcPr>
            <w:tcW w:type="dxa" w:w="3397"/>
            <w:tcBorders/>
            <w:vAlign w:val="center"/>
          </w:tcPr>
          <w:p>
            <w:pPr>
              <w:spacing/>
              <w:jc w:val="center"/>
              <w:rPr>
                <w:rFonts w:ascii="Arial" w:hAnsi="Arial" w:cs="Arial"/>
                <w:sz w:val="18"/>
                <w:szCs w:val="18"/>
              </w:rPr>
            </w:pPr>
          </w:p>
        </w:tc>
      </w:tr>
      <w:tr>
        <w:trPr>
          <w:cantSplit/>
        </w:trPr>
        <w:tc>
          <w:tcPr>
            <w:tcW w:type="dxa" w:w="8079"/>
            <w:vMerge w:val="continue"/>
            <w:tcBorders/>
            <w:vAlign w:val="center"/>
          </w:tcPr>
          <w:p>
            <w:pPr>
              <w:spacing/>
              <w:jc w:val="center"/>
              <w:rPr>
                <w:rFonts w:ascii="Arial" w:hAnsi="Arial" w:cs="Arial"/>
                <w:bCs/>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Tiekiamas kiekis, </w:t>
            </w:r>
            <w:r>
              <w:rPr>
                <w:rFonts w:ascii="Arial" w:hAnsi="Arial" w:cs="Arial"/>
                <w:sz w:val="18"/>
                <w:szCs w:val="18"/>
              </w:rPr>
              <w:t xml:space="preserve">vienfaziais </w:t>
            </w:r>
            <w:r>
              <w:rPr>
                <w:rFonts w:ascii="Arial" w:hAnsi="Arial" w:cs="Arial"/>
                <w:sz w:val="18"/>
                <w:szCs w:val="18"/>
              </w:rPr>
              <w:t xml:space="preserve">vnt./</w:t>
            </w:r>
          </w:p>
          <w:p>
            <w:pPr>
              <w:spacing/>
              <w:rPr>
                <w:rFonts w:ascii="Arial" w:hAnsi="Arial" w:cs="Arial"/>
                <w:sz w:val="18"/>
                <w:szCs w:val="18"/>
              </w:rPr>
            </w:pPr>
            <w:r>
              <w:rPr>
                <w:rFonts w:ascii="Arial" w:hAnsi="Arial" w:cs="Arial"/>
                <w:sz w:val="18"/>
                <w:szCs w:val="18"/>
                <w:lang w:val="en-US"/>
              </w:rPr>
              <w:t xml:space="preserve">Quantity </w:t>
            </w:r>
            <w:r>
              <w:rPr>
                <w:rFonts w:ascii="Arial" w:hAnsi="Arial" w:cs="Arial"/>
                <w:sz w:val="18"/>
                <w:szCs w:val="18"/>
                <w:lang w:val="en-US"/>
              </w:rPr>
              <w:t xml:space="preserve">in</w:t>
            </w:r>
            <w:r>
              <w:rPr>
                <w:rFonts w:ascii="Arial" w:hAnsi="Arial" w:cs="Arial"/>
                <w:sz w:val="18"/>
                <w:szCs w:val="18"/>
                <w:lang w:val="en-US"/>
              </w:rPr>
              <w:t xml:space="preserve"> </w:t>
            </w:r>
            <w:r>
              <w:rPr>
                <w:rFonts w:ascii="Arial" w:hAnsi="Arial" w:cs="Arial"/>
                <w:sz w:val="18"/>
                <w:szCs w:val="18"/>
                <w:lang w:val="en-US"/>
              </w:rPr>
              <w:t xml:space="preserve">one</w:t>
            </w:r>
            <w:r>
              <w:rPr>
                <w:rFonts w:ascii="Arial" w:hAnsi="Arial" w:cs="Arial"/>
                <w:sz w:val="18"/>
                <w:szCs w:val="18"/>
                <w:lang w:val="en-US"/>
              </w:rPr>
              <w:t xml:space="preserve">-</w:t>
            </w:r>
            <w:r>
              <w:rPr>
                <w:rFonts w:ascii="Arial" w:hAnsi="Arial" w:cs="Arial"/>
                <w:sz w:val="18"/>
                <w:szCs w:val="18"/>
                <w:lang w:val="en-US"/>
              </w:rPr>
              <w:t xml:space="preserve">phase </w:t>
            </w:r>
            <w:r>
              <w:rPr>
                <w:rFonts w:ascii="Arial" w:hAnsi="Arial" w:cs="Arial"/>
                <w:sz w:val="18"/>
                <w:szCs w:val="18"/>
                <w:lang w:val="en-US"/>
              </w:rPr>
              <w:t xml:space="preserve">units, </w:t>
            </w:r>
            <w:r>
              <w:rPr>
                <w:rFonts w:ascii="Arial" w:hAnsi="Arial" w:cs="Arial"/>
                <w:sz w:val="18"/>
                <w:szCs w:val="18"/>
                <w:lang w:val="en-US"/>
              </w:rPr>
              <w:t xml:space="preserve">p</w:t>
            </w:r>
            <w:r>
              <w:rPr>
                <w:rFonts w:ascii="Arial" w:hAnsi="Arial" w:cs="Arial"/>
                <w:sz w:val="18"/>
                <w:szCs w:val="18"/>
                <w:lang w:val="en-US"/>
              </w:rPr>
              <w:t xml:space="preserve">cs.</w:t>
            </w:r>
          </w:p>
        </w:tc>
        <w:tc>
          <w:tcPr>
            <w:tcW w:type="dxa" w:w="3397"/>
            <w:tcBorders/>
            <w:vAlign w:val="center"/>
          </w:tcPr>
          <w:p>
            <w:pPr>
              <w:spacing/>
              <w:jc w:val="center"/>
              <w:rPr>
                <w:rFonts w:ascii="Arial" w:hAnsi="Arial" w:cs="Arial"/>
                <w:sz w:val="18"/>
                <w:szCs w:val="18"/>
              </w:rPr>
            </w:pPr>
          </w:p>
        </w:tc>
      </w:tr>
    </w:tbl>
    <w:p w14:paraId="404F2A61">
      <w:pPr>
        <w:spacing/>
        <w:rPr>
          <w:rFonts w:ascii="Arial" w:hAnsi="Arial" w:cs="Arial"/>
          <w:sz w:val="22"/>
          <w:szCs w:val="22"/>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2551"/>
        <w:gridCol w:w="1136"/>
        <w:gridCol w:w="3687"/>
        <w:gridCol w:w="3687"/>
        <w:gridCol w:w="2406"/>
        <w:gridCol w:w="991"/>
      </w:tblGrid>
      <w:tr>
        <w:trPr>
          <w:cantSplit/>
          <w:tblHeader/>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gridSpan w:val="2"/>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cantSplit/>
          <w:tblHeader/>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gridSpan w:val="2"/>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cantSplit/>
          <w:tblHeader/>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w:t>
            </w:r>
            <w:r>
              <w:rPr>
                <w:rFonts w:ascii="Arial" w:hAnsi="Arial" w:cs="Arial"/>
                <w:bCs/>
                <w:sz w:val="18"/>
                <w:szCs w:val="18"/>
                <w:lang w:val="en-US"/>
              </w:rPr>
              <w:t xml:space="preserve">o</w:t>
            </w:r>
            <w:r>
              <w:rPr>
                <w:rFonts w:ascii="Arial" w:hAnsi="Arial" w:cs="Arial"/>
                <w:bCs/>
                <w:sz w:val="18"/>
                <w:szCs w:val="18"/>
                <w:lang w:val="en-US"/>
              </w:rPr>
              <w:t xml:space="preserve">.</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1.</w:t>
            </w:r>
          </w:p>
        </w:tc>
        <w:tc>
          <w:tcPr>
            <w:tcW w:type="dxa" w:w="14458"/>
            <w:gridSpan w:val="6"/>
            <w:tcBorders/>
            <w:vAlign w:val="center"/>
          </w:tcPr>
          <w:p>
            <w:pPr>
              <w:spacing/>
              <w:jc w:val="center"/>
              <w:rPr>
                <w:rFonts w:ascii="Arial" w:hAnsi="Arial" w:cs="Arial"/>
                <w:sz w:val="18"/>
                <w:szCs w:val="18"/>
              </w:rPr>
            </w:pPr>
            <w:r>
              <w:rPr>
                <w:rFonts w:ascii="Arial" w:hAnsi="Arial" w:cs="Arial"/>
                <w:b/>
                <w:sz w:val="18"/>
                <w:szCs w:val="18"/>
              </w:rPr>
              <w:t xml:space="preserve">Standartai:/ </w:t>
            </w:r>
            <w:r>
              <w:rPr>
                <w:rFonts w:ascii="Arial" w:hAnsi="Arial" w:cs="Arial"/>
                <w:b/>
                <w:sz w:val="18"/>
                <w:szCs w:val="18"/>
                <w:lang w:val="en-US"/>
              </w:rPr>
              <w:t xml:space="preserve">Standards:</w:t>
            </w: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Bendrieji reikalavimai matavimo transformatoriams turi atitikti standarto reikalavimus/</w:t>
            </w:r>
          </w:p>
          <w:p>
            <w:pPr>
              <w:spacing/>
              <w:rPr>
                <w:rFonts w:ascii="Arial" w:hAnsi="Arial" w:cs="Arial"/>
                <w:sz w:val="18"/>
                <w:szCs w:val="18"/>
              </w:rPr>
            </w:pPr>
            <w:r>
              <w:rPr>
                <w:rFonts w:ascii="Arial" w:hAnsi="Arial" w:cs="Arial"/>
                <w:sz w:val="18"/>
                <w:szCs w:val="18"/>
                <w:lang w:val="en-US"/>
              </w:rPr>
              <w:t xml:space="preserve">General requirements for the </w:t>
            </w:r>
            <w:r>
              <w:rPr>
                <w:rStyle w:val="hps"/>
                <w:rFonts w:ascii="Arial" w:hAnsi="Arial" w:cs="Arial"/>
                <w:sz w:val="18"/>
                <w:szCs w:val="18"/>
                <w:lang w:val="en-US"/>
              </w:rPr>
              <w:t xml:space="preserve">instrument transformers</w:t>
            </w:r>
            <w:r>
              <w:rPr>
                <w:rFonts w:ascii="Arial" w:hAnsi="Arial" w:cs="Arial"/>
                <w:sz w:val="18"/>
                <w:szCs w:val="18"/>
                <w:lang w:val="en-US"/>
              </w:rPr>
              <w:t xml:space="preserve"> shall meet requirements of the standard</w:t>
            </w:r>
          </w:p>
        </w:tc>
        <w:tc>
          <w:tcPr>
            <w:tcW w:type="dxa" w:w="3687"/>
            <w:tcBorders/>
            <w:vAlign w:val="center"/>
          </w:tcPr>
          <w:p>
            <w:pPr>
              <w:spacing/>
              <w:jc w:val="center"/>
              <w:rPr>
                <w:rFonts w:ascii="Arial" w:hAnsi="Arial" w:cs="Arial"/>
                <w:b/>
                <w:sz w:val="18"/>
                <w:szCs w:val="18"/>
              </w:rPr>
            </w:pPr>
            <w:r>
              <w:rPr>
                <w:rFonts w:ascii="Arial" w:hAnsi="Arial" w:cs="Arial"/>
                <w:bCs/>
                <w:sz w:val="18"/>
                <w:szCs w:val="18"/>
              </w:rPr>
              <w:t xml:space="preserve">IEC 61869-1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Papildomi reikalavimai taikomi srovės matavimo transformatoriams turi atitikti standarto reikalavimus/</w:t>
            </w:r>
          </w:p>
          <w:p>
            <w:pPr>
              <w:spacing/>
              <w:rPr>
                <w:rFonts w:ascii="Arial" w:hAnsi="Arial" w:cs="Arial"/>
                <w:color w:val="000000"/>
                <w:sz w:val="18"/>
                <w:szCs w:val="18"/>
              </w:rPr>
            </w:pPr>
            <w:r>
              <w:rPr>
                <w:rFonts w:ascii="Arial" w:hAnsi="Arial" w:cs="Arial"/>
                <w:color w:val="000000"/>
                <w:sz w:val="18"/>
                <w:szCs w:val="18"/>
                <w:lang w:val="en-US"/>
              </w:rPr>
              <w:t xml:space="preserve">Additional requirements for the current instrument transformers shall meet requirements of the standard</w:t>
            </w:r>
            <w:r>
              <w:rPr>
                <w:rFonts w:ascii="Arial" w:hAnsi="Arial" w:cs="Arial"/>
                <w:color w:val="000000"/>
                <w:sz w:val="18"/>
                <w:szCs w:val="18"/>
                <w:lang w:val="en-US"/>
              </w:rPr>
              <w:t xml:space="preserve"> </w:t>
            </w:r>
            <w:r>
              <w:rPr>
                <w:rFonts w:ascii="Arial" w:hAnsi="Arial" w:cs="Arial"/>
                <w:color w:val="000000"/>
                <w:sz w:val="18"/>
                <w:szCs w:val="18"/>
                <w:vertAlign w:val="superscript"/>
                <w:lang w:val="en-GB"/>
              </w:rPr>
              <w:t xml:space="preserve">1)</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IEC 61869-2 </w:t>
            </w:r>
            <w:r>
              <w:rPr>
                <w:rFonts w:ascii="Arial" w:hAnsi="Arial" w:cs="Arial"/>
                <w:bCs/>
                <w:i/>
                <w:iCs/>
                <w:sz w:val="18"/>
                <w:szCs w:val="18"/>
              </w:rPr>
              <w:t xml:space="preserve">arba</w:t>
            </w:r>
            <w:r>
              <w:rPr>
                <w:rFonts w:ascii="Arial" w:hAnsi="Arial" w:cs="Arial"/>
                <w:bCs/>
                <w:sz w:val="18"/>
                <w:szCs w:val="18"/>
              </w:rPr>
              <w:t xml:space="preserve"> Netaikoma/</w:t>
            </w:r>
          </w:p>
          <w:p>
            <w:pPr>
              <w:spacing/>
              <w:jc w:val="center"/>
              <w:rPr>
                <w:rFonts w:ascii="Arial" w:hAnsi="Arial" w:cs="Arial"/>
                <w:bCs/>
                <w:sz w:val="18"/>
                <w:szCs w:val="18"/>
              </w:rPr>
            </w:pPr>
            <w:r>
              <w:rPr>
                <w:rFonts w:ascii="Arial" w:hAnsi="Arial" w:cs="Arial"/>
                <w:bCs/>
                <w:sz w:val="18"/>
                <w:szCs w:val="18"/>
                <w:lang w:val="en-GB"/>
              </w:rPr>
              <w:t xml:space="preserve">IEC 61869-2 </w:t>
            </w:r>
            <w:r>
              <w:rPr>
                <w:rFonts w:ascii="Arial" w:hAnsi="Arial" w:cs="Arial"/>
                <w:bCs/>
                <w:i/>
                <w:iCs/>
                <w:sz w:val="18"/>
                <w:szCs w:val="18"/>
                <w:lang w:val="en-GB"/>
              </w:rPr>
              <w:t xml:space="preserve">or </w:t>
            </w:r>
            <w:r>
              <w:rPr>
                <w:rFonts w:ascii="Arial" w:hAnsi="Arial" w:cs="Arial"/>
                <w:bCs/>
                <w:sz w:val="18"/>
                <w:szCs w:val="18"/>
                <w:lang w:val="en-GB"/>
              </w:rPr>
              <w:t xml:space="preserve">Not</w:t>
            </w:r>
            <w:r>
              <w:rPr>
                <w:rFonts w:ascii="Arial" w:hAnsi="Arial" w:cs="Arial"/>
                <w:bCs/>
                <w:sz w:val="18"/>
                <w:szCs w:val="18"/>
                <w:lang w:val="en-GB"/>
              </w:rPr>
              <w:t xml:space="preserve"> applicable</w:t>
            </w:r>
            <w:r>
              <w:rPr>
                <w:rFonts w:ascii="Arial" w:hAnsi="Arial" w:cs="Arial"/>
                <w:bCs/>
                <w:sz w:val="18"/>
                <w:szCs w:val="18"/>
                <w:vertAlign w:val="superscript"/>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Papildomi reikalavimai taikomi įtampos matavimo transformatoriams turi atitikti standarto reikalavimus/</w:t>
            </w:r>
          </w:p>
          <w:p>
            <w:pPr>
              <w:spacing/>
              <w:rPr>
                <w:rFonts w:ascii="Arial" w:hAnsi="Arial" w:cs="Arial"/>
                <w:color w:val="000000"/>
                <w:sz w:val="18"/>
                <w:szCs w:val="18"/>
              </w:rPr>
            </w:pPr>
            <w:r>
              <w:rPr>
                <w:rFonts w:ascii="Arial" w:hAnsi="Arial" w:cs="Arial"/>
                <w:color w:val="000000"/>
                <w:sz w:val="18"/>
                <w:szCs w:val="18"/>
                <w:lang w:val="en-US"/>
              </w:rPr>
              <w:t xml:space="preserve">Additional requirements for the voltage instrument transformers shall meet requirements of the standard</w:t>
            </w:r>
            <w:r>
              <w:rPr>
                <w:rFonts w:ascii="Arial" w:hAnsi="Arial" w:cs="Arial"/>
                <w:color w:val="000000"/>
                <w:sz w:val="18"/>
                <w:szCs w:val="18"/>
                <w:lang w:val="en-US"/>
              </w:rPr>
              <w:t xml:space="preserve"> </w:t>
            </w:r>
            <w:r>
              <w:rPr>
                <w:rFonts w:ascii="Arial" w:hAnsi="Arial" w:cs="Arial"/>
                <w:color w:val="000000"/>
                <w:sz w:val="18"/>
                <w:szCs w:val="18"/>
                <w:vertAlign w:val="superscript"/>
                <w:lang w:val="en-GB"/>
              </w:rPr>
              <w:t xml:space="preserve">1)</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IEC 61869-3</w:t>
            </w:r>
            <w:r>
              <w:rPr>
                <w:rFonts w:ascii="Arial" w:hAnsi="Arial" w:cs="Arial"/>
                <w:bCs/>
                <w:sz w:val="18"/>
                <w:szCs w:val="18"/>
              </w:rPr>
              <w:t xml:space="preserve"> </w:t>
            </w:r>
            <w:r>
              <w:rPr>
                <w:rFonts w:ascii="Arial" w:hAnsi="Arial" w:cs="Arial"/>
                <w:bCs/>
                <w:i/>
                <w:iCs/>
                <w:sz w:val="18"/>
                <w:szCs w:val="18"/>
              </w:rPr>
              <w:t xml:space="preserve">arba</w:t>
            </w:r>
            <w:r>
              <w:rPr>
                <w:rFonts w:ascii="Arial" w:hAnsi="Arial" w:cs="Arial"/>
                <w:bCs/>
                <w:sz w:val="18"/>
                <w:szCs w:val="18"/>
              </w:rPr>
              <w:t xml:space="preserve"> Netaikoma/</w:t>
            </w:r>
          </w:p>
          <w:p>
            <w:pPr>
              <w:spacing/>
              <w:jc w:val="center"/>
              <w:rPr>
                <w:rFonts w:ascii="Arial" w:hAnsi="Arial" w:cs="Arial"/>
                <w:bCs/>
                <w:sz w:val="18"/>
                <w:szCs w:val="18"/>
              </w:rPr>
            </w:pPr>
            <w:r>
              <w:rPr>
                <w:rFonts w:ascii="Arial" w:hAnsi="Arial" w:cs="Arial"/>
                <w:bCs/>
                <w:sz w:val="18"/>
                <w:szCs w:val="18"/>
                <w:lang w:val="en-GB"/>
              </w:rPr>
              <w:t xml:space="preserve">IEC 61869-3 </w:t>
            </w:r>
            <w:r>
              <w:rPr>
                <w:rFonts w:ascii="Arial" w:hAnsi="Arial" w:cs="Arial"/>
                <w:bCs/>
                <w:i/>
                <w:iCs/>
                <w:sz w:val="18"/>
                <w:szCs w:val="18"/>
                <w:lang w:val="en-GB"/>
              </w:rPr>
              <w:t xml:space="preserve">or </w:t>
            </w:r>
            <w:r>
              <w:rPr>
                <w:rFonts w:ascii="Arial" w:hAnsi="Arial" w:cs="Arial"/>
                <w:bCs/>
                <w:sz w:val="18"/>
                <w:szCs w:val="18"/>
                <w:lang w:val="en-GB"/>
              </w:rPr>
              <w:t xml:space="preserve">Not</w:t>
            </w:r>
            <w:r>
              <w:rPr>
                <w:rFonts w:ascii="Arial" w:hAnsi="Arial" w:cs="Arial"/>
                <w:bCs/>
                <w:sz w:val="18"/>
                <w:szCs w:val="18"/>
                <w:lang w:val="en-GB"/>
              </w:rPr>
              <w:t xml:space="preserve">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Papildomi reikalavimai taikomi kombinuotiems matavimo transformatoriams turi atitikti standarto reikalavimus/</w:t>
            </w:r>
          </w:p>
          <w:p>
            <w:pPr>
              <w:spacing/>
              <w:rPr>
                <w:rFonts w:ascii="Arial" w:hAnsi="Arial" w:cs="Arial"/>
                <w:color w:val="000000"/>
                <w:sz w:val="18"/>
                <w:szCs w:val="18"/>
              </w:rPr>
            </w:pPr>
            <w:r>
              <w:rPr>
                <w:rFonts w:ascii="Arial" w:hAnsi="Arial" w:cs="Arial"/>
                <w:color w:val="000000"/>
                <w:sz w:val="18"/>
                <w:szCs w:val="18"/>
                <w:lang w:val="en-US"/>
              </w:rPr>
              <w:t xml:space="preserve">Additional requirements for the combined instrument transformers shall meet requirements of the standard</w:t>
            </w:r>
            <w:r>
              <w:rPr>
                <w:rFonts w:ascii="Arial" w:hAnsi="Arial" w:cs="Arial"/>
                <w:color w:val="000000"/>
                <w:sz w:val="18"/>
                <w:szCs w:val="18"/>
                <w:lang w:val="en-US"/>
              </w:rPr>
              <w:t xml:space="preserve"> </w:t>
            </w:r>
            <w:r>
              <w:rPr>
                <w:rFonts w:ascii="Arial" w:hAnsi="Arial" w:cs="Arial"/>
                <w:color w:val="000000"/>
                <w:sz w:val="18"/>
                <w:szCs w:val="18"/>
                <w:vertAlign w:val="superscript"/>
                <w:lang w:val="en-GB"/>
              </w:rPr>
              <w:t xml:space="preserve">1)</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IEC 61869-4 </w:t>
            </w:r>
            <w:r>
              <w:rPr>
                <w:rFonts w:ascii="Arial" w:hAnsi="Arial" w:cs="Arial"/>
                <w:bCs/>
                <w:i/>
                <w:iCs/>
                <w:sz w:val="18"/>
                <w:szCs w:val="18"/>
              </w:rPr>
              <w:t xml:space="preserve">arba</w:t>
            </w:r>
            <w:r>
              <w:rPr>
                <w:rFonts w:ascii="Arial" w:hAnsi="Arial" w:cs="Arial"/>
                <w:bCs/>
                <w:sz w:val="18"/>
                <w:szCs w:val="18"/>
              </w:rPr>
              <w:t xml:space="preserve"> Netaikoma/</w:t>
            </w:r>
          </w:p>
          <w:p>
            <w:pPr>
              <w:spacing/>
              <w:jc w:val="center"/>
              <w:rPr>
                <w:rFonts w:ascii="Arial" w:hAnsi="Arial" w:cs="Arial"/>
                <w:bCs/>
                <w:sz w:val="18"/>
                <w:szCs w:val="18"/>
              </w:rPr>
            </w:pPr>
            <w:r>
              <w:rPr>
                <w:rFonts w:ascii="Arial" w:hAnsi="Arial" w:cs="Arial"/>
                <w:bCs/>
                <w:sz w:val="18"/>
                <w:szCs w:val="18"/>
                <w:lang w:val="en-GB"/>
              </w:rPr>
              <w:t xml:space="preserve">IEC 61869-4 </w:t>
            </w:r>
            <w:r>
              <w:rPr>
                <w:rFonts w:ascii="Arial" w:hAnsi="Arial" w:cs="Arial"/>
                <w:bCs/>
                <w:i/>
                <w:iCs/>
                <w:sz w:val="18"/>
                <w:szCs w:val="18"/>
                <w:lang w:val="en-GB"/>
              </w:rPr>
              <w:t xml:space="preserve">or</w:t>
            </w:r>
            <w:r>
              <w:rPr>
                <w:rFonts w:ascii="Arial" w:hAnsi="Arial" w:cs="Arial"/>
                <w:bCs/>
                <w:sz w:val="18"/>
                <w:szCs w:val="18"/>
                <w:lang w:val="en-GB"/>
              </w:rPr>
              <w:t xml:space="preserve"> </w:t>
            </w:r>
            <w:r>
              <w:rPr>
                <w:rFonts w:ascii="Arial" w:hAnsi="Arial" w:cs="Arial"/>
                <w:bCs/>
                <w:sz w:val="18"/>
                <w:szCs w:val="18"/>
                <w:lang w:val="en-GB"/>
              </w:rPr>
              <w:t xml:space="preserve">Not</w:t>
            </w:r>
            <w:r>
              <w:rPr>
                <w:rFonts w:ascii="Arial" w:hAnsi="Arial" w:cs="Arial"/>
                <w:bCs/>
                <w:sz w:val="18"/>
                <w:szCs w:val="18"/>
                <w:lang w:val="en-GB"/>
              </w:rPr>
              <w:t xml:space="preserve"> applicable</w:t>
            </w:r>
            <w:r>
              <w:rPr>
                <w:rFonts w:ascii="Arial" w:hAnsi="Arial" w:cs="Arial"/>
                <w:bCs/>
                <w:sz w:val="18"/>
                <w:szCs w:val="18"/>
                <w:vertAlign w:val="superscript"/>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Tuščiaviduriai keraminiai izoliatoriai turi atitikti standarto reikalavimus/</w:t>
            </w:r>
          </w:p>
          <w:p>
            <w:pPr>
              <w:spacing/>
              <w:rPr>
                <w:rFonts w:ascii="Arial" w:hAnsi="Arial" w:cs="Arial"/>
                <w:sz w:val="18"/>
                <w:szCs w:val="18"/>
              </w:rPr>
            </w:pPr>
            <w:r>
              <w:rPr>
                <w:rFonts w:ascii="Arial" w:hAnsi="Arial" w:cs="Arial"/>
                <w:sz w:val="18"/>
                <w:szCs w:val="18"/>
                <w:lang w:val="en-US"/>
              </w:rPr>
              <w:t xml:space="preserve">Hollow ceramic insulators shall meet requirements of the standard</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IEC 62155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Izoliacinė alyva turi atitikti standarto reikalavimus/</w:t>
            </w:r>
          </w:p>
          <w:p>
            <w:pPr>
              <w:spacing/>
              <w:rPr>
                <w:rFonts w:ascii="Arial" w:hAnsi="Arial" w:cs="Arial"/>
                <w:sz w:val="18"/>
                <w:szCs w:val="18"/>
              </w:rPr>
            </w:pPr>
            <w:r>
              <w:rPr>
                <w:rFonts w:ascii="Arial" w:hAnsi="Arial" w:cs="Arial"/>
                <w:sz w:val="18"/>
                <w:szCs w:val="18"/>
                <w:lang w:val="en-US"/>
              </w:rPr>
              <w:t xml:space="preserve">Insulating oil shall meet requirements of the standard</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IEC 60296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Gamintojo numatytas izoliacinės alyvos mėginių paėmimo metodas turi atitikti standarto reikalavimus/</w:t>
            </w:r>
          </w:p>
          <w:p>
            <w:pPr>
              <w:spacing/>
              <w:rPr>
                <w:rFonts w:ascii="Arial" w:hAnsi="Arial" w:cs="Arial"/>
                <w:sz w:val="18"/>
                <w:szCs w:val="18"/>
              </w:rPr>
            </w:pPr>
            <w:r>
              <w:rPr>
                <w:rFonts w:ascii="Arial" w:hAnsi="Arial" w:cs="Arial"/>
                <w:sz w:val="18"/>
                <w:szCs w:val="18"/>
                <w:lang w:val="en-US"/>
              </w:rPr>
              <w:t xml:space="preserve">Method of sampling of insulating oil provided by manufacturer shall meet requirements of the standard</w:t>
            </w:r>
          </w:p>
        </w:tc>
        <w:tc>
          <w:tcPr>
            <w:tcW w:type="dxa" w:w="3687"/>
            <w:tcBorders/>
            <w:vAlign w:val="center"/>
          </w:tcPr>
          <w:p>
            <w:pPr>
              <w:spacing/>
              <w:jc w:val="center"/>
              <w:rPr>
                <w:rFonts w:ascii="Arial" w:hAnsi="Arial" w:cs="Arial"/>
                <w:color w:val="000000"/>
                <w:sz w:val="18"/>
                <w:szCs w:val="18"/>
              </w:rPr>
            </w:pPr>
            <w:r>
              <w:rPr>
                <w:rFonts w:ascii="Arial" w:hAnsi="Arial" w:cs="Arial"/>
                <w:color w:val="000000"/>
                <w:sz w:val="18"/>
                <w:szCs w:val="18"/>
              </w:rPr>
              <w:t xml:space="preserve">IEC 60567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Gamintojo kokybės vadybos sistema turi būti įvertinta sertifikatu/</w:t>
            </w:r>
          </w:p>
          <w:p>
            <w:pPr>
              <w:spacing/>
              <w:rPr>
                <w:rFonts w:ascii="Arial" w:hAnsi="Arial" w:cs="Arial"/>
                <w:color w:val="000000"/>
                <w:sz w:val="18"/>
                <w:szCs w:val="18"/>
              </w:rPr>
            </w:pPr>
            <w:r>
              <w:rPr>
                <w:rStyle w:val="hps"/>
                <w:rFonts w:ascii="Arial" w:hAnsi="Arial" w:cs="Arial"/>
                <w:color w:val="222222"/>
                <w:sz w:val="18"/>
                <w:szCs w:val="18"/>
                <w:lang w:val="en-US"/>
              </w:rPr>
              <w:t xml:space="preserve">The manufacturer</w:t>
            </w:r>
            <w:r>
              <w:rPr>
                <w:rFonts w:ascii="Arial" w:hAnsi="Arial" w:cs="Arial"/>
                <w:color w:val="222222"/>
                <w:sz w:val="18"/>
                <w:szCs w:val="18"/>
                <w:lang w:val="en-US"/>
              </w:rPr>
              <w:t xml:space="preserve">’s quality management system</w:t>
            </w:r>
            <w:r>
              <w:rPr>
                <w:rStyle w:val="hps"/>
                <w:rFonts w:ascii="Arial" w:hAnsi="Arial" w:cs="Arial"/>
                <w:color w:val="222222"/>
                <w:sz w:val="18"/>
                <w:szCs w:val="18"/>
                <w:lang w:val="en-US"/>
              </w:rPr>
              <w:t xml:space="preserve"> </w:t>
            </w:r>
            <w:r>
              <w:rPr>
                <w:rStyle w:val="hps"/>
                <w:rFonts w:ascii="Arial" w:hAnsi="Arial" w:cs="Arial"/>
                <w:sz w:val="18"/>
                <w:szCs w:val="18"/>
                <w:lang w:val="en-US"/>
              </w:rPr>
              <w:t xml:space="preserve">shall</w:t>
            </w:r>
            <w:r>
              <w:rPr>
                <w:rFonts w:ascii="Arial" w:hAnsi="Arial" w:cs="Arial"/>
                <w:color w:val="222222"/>
                <w:sz w:val="18"/>
                <w:szCs w:val="18"/>
                <w:lang w:val="en-US"/>
              </w:rPr>
              <w:t xml:space="preserve"> </w:t>
            </w:r>
            <w:r>
              <w:rPr>
                <w:rStyle w:val="hps"/>
                <w:rFonts w:ascii="Arial" w:hAnsi="Arial" w:cs="Arial"/>
                <w:color w:val="222222"/>
                <w:sz w:val="18"/>
                <w:szCs w:val="18"/>
                <w:lang w:val="en-US"/>
              </w:rPr>
              <w:t xml:space="preserve">be</w:t>
            </w:r>
            <w:r>
              <w:rPr>
                <w:rFonts w:ascii="Arial" w:hAnsi="Arial" w:cs="Arial"/>
                <w:color w:val="222222"/>
                <w:sz w:val="18"/>
                <w:szCs w:val="18"/>
                <w:lang w:val="en-US"/>
              </w:rPr>
              <w:t xml:space="preserve"> </w:t>
            </w:r>
            <w:r>
              <w:rPr>
                <w:rStyle w:val="hps"/>
                <w:rFonts w:ascii="Arial" w:hAnsi="Arial" w:cs="Arial"/>
                <w:color w:val="222222"/>
                <w:sz w:val="18"/>
                <w:szCs w:val="18"/>
                <w:lang w:val="en-US"/>
              </w:rPr>
              <w:t xml:space="preserve">evaluated by certificate</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ISO 9001 </w:t>
            </w:r>
            <w:r>
              <w:rPr>
                <w:rFonts w:ascii="Arial" w:hAnsi="Arial" w:cs="Arial"/>
                <w:bCs/>
                <w:sz w:val="18"/>
                <w:szCs w:val="18"/>
                <w:vertAlign w:val="superscript"/>
              </w:rPr>
              <w:t xml:space="preserve">b)</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3"/>
              </w:numPr>
              <w:spacing/>
              <w:rPr>
                <w:rFonts w:ascii="Arial" w:hAnsi="Arial" w:cs="Arial"/>
                <w:sz w:val="18"/>
                <w:szCs w:val="18"/>
              </w:rPr>
            </w:pPr>
          </w:p>
        </w:tc>
        <w:tc>
          <w:tcPr>
            <w:tcW w:type="dxa" w:w="3687"/>
            <w:gridSpan w:val="2"/>
            <w:tcBorders/>
            <w:vAlign w:val="center"/>
          </w:tcPr>
          <w:p>
            <w:pPr>
              <w:spacing/>
              <w:rPr>
                <w:rFonts w:ascii="Arial" w:hAnsi="Arial" w:cs="Arial"/>
                <w:color w:val="222222"/>
                <w:sz w:val="18"/>
                <w:szCs w:val="18"/>
              </w:rPr>
            </w:pPr>
            <w:r>
              <w:rPr>
                <w:rFonts w:ascii="Arial" w:hAnsi="Arial" w:cs="Arial"/>
                <w:color w:val="000000"/>
                <w:sz w:val="18"/>
                <w:szCs w:val="18"/>
              </w:rPr>
              <w:t xml:space="preserve">Gamintojo aplinkos apsaugos vadybos sistema turi būti įvertinta sertifikatu/</w:t>
            </w:r>
          </w:p>
          <w:p>
            <w:pPr>
              <w:spacing/>
              <w:rPr>
                <w:rFonts w:ascii="Arial" w:hAnsi="Arial" w:cs="Arial"/>
                <w:color w:val="000000"/>
                <w:sz w:val="18"/>
                <w:szCs w:val="18"/>
              </w:rPr>
            </w:pPr>
            <w:r>
              <w:rPr>
                <w:rStyle w:val="hps"/>
                <w:rFonts w:ascii="Arial" w:hAnsi="Arial" w:cs="Arial"/>
                <w:color w:val="222222"/>
                <w:sz w:val="18"/>
                <w:szCs w:val="18"/>
                <w:lang w:val="en"/>
              </w:rPr>
              <w:t xml:space="preserve">The manufacturer’s</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environmental management</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system shall</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be</w:t>
            </w:r>
            <w:r>
              <w:rPr>
                <w:rFonts w:ascii="Arial" w:hAnsi="Arial" w:cs="Arial"/>
                <w:color w:val="222222"/>
                <w:sz w:val="18"/>
                <w:szCs w:val="18"/>
                <w:lang w:val="en"/>
              </w:rPr>
              <w:t xml:space="preserve"> </w:t>
            </w:r>
            <w:r>
              <w:rPr>
                <w:rStyle w:val="hps"/>
                <w:rFonts w:ascii="Arial" w:hAnsi="Arial" w:cs="Arial"/>
                <w:color w:val="222222"/>
                <w:sz w:val="18"/>
                <w:szCs w:val="18"/>
                <w:lang w:val="en"/>
              </w:rPr>
              <w:t xml:space="preserve">evaluated by certificate</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ISO 14001 </w:t>
            </w:r>
            <w:r>
              <w:rPr>
                <w:rFonts w:ascii="Arial" w:hAnsi="Arial" w:cs="Arial"/>
                <w:bCs/>
                <w:sz w:val="18"/>
                <w:szCs w:val="18"/>
                <w:vertAlign w:val="superscript"/>
              </w:rPr>
              <w:t xml:space="preserve">b)</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2.</w:t>
            </w:r>
          </w:p>
        </w:tc>
        <w:tc>
          <w:tcPr>
            <w:tcW w:type="dxa" w:w="14458"/>
            <w:gridSpan w:val="6"/>
            <w:tcBorders/>
          </w:tcPr>
          <w:p>
            <w:pPr>
              <w:spacing/>
              <w:jc w:val="center"/>
              <w:rPr>
                <w:rFonts w:ascii="Arial" w:hAnsi="Arial" w:cs="Arial"/>
                <w:b/>
                <w:sz w:val="18"/>
                <w:szCs w:val="18"/>
              </w:rPr>
            </w:pPr>
            <w:r>
              <w:rPr>
                <w:rFonts w:ascii="Arial" w:hAnsi="Arial" w:cs="Arial"/>
                <w:b/>
                <w:sz w:val="18"/>
                <w:szCs w:val="18"/>
              </w:rPr>
              <w:t xml:space="preserve">Aplinkos sąlygos:/ </w:t>
            </w:r>
            <w:r>
              <w:rPr>
                <w:rFonts w:ascii="Arial" w:hAnsi="Arial" w:cs="Arial"/>
                <w:b/>
                <w:sz w:val="18"/>
                <w:szCs w:val="18"/>
                <w:lang w:val="en-US"/>
              </w:rPr>
              <w:t xml:space="preserve">Ambient conditions:</w:t>
            </w:r>
          </w:p>
        </w:tc>
      </w:tr>
      <w:tr>
        <w:trPr>
          <w:cantSplit/>
        </w:trPr>
        <w:tc>
          <w:tcPr>
            <w:tcW w:type="dxa" w:w="705"/>
            <w:tcBorders/>
            <w:vAlign w:val="center"/>
          </w:tcPr>
          <w:p>
            <w:pPr>
              <w:pStyle w:val="ListParagraph"/>
              <w:numPr>
                <w:ilvl w:val="0"/>
                <w:numId w:val="17"/>
              </w:numPr>
              <w:spacing/>
              <w:rPr>
                <w:rFonts w:ascii="Arial" w:hAnsi="Arial" w:cs="Arial"/>
                <w:sz w:val="18"/>
                <w:szCs w:val="18"/>
              </w:rPr>
            </w:pPr>
          </w:p>
        </w:tc>
        <w:tc>
          <w:tcPr>
            <w:tcW w:type="dxa" w:w="3687"/>
            <w:gridSpan w:val="2"/>
            <w:tcBorders/>
            <w:vAlign w:val="center"/>
          </w:tcPr>
          <w:p>
            <w:pPr>
              <w:spacing/>
              <w:rPr>
                <w:rFonts w:ascii="Arial" w:hAnsi="Arial" w:cs="Arial"/>
                <w:color w:val="000000"/>
                <w:sz w:val="18"/>
                <w:szCs w:val="18"/>
              </w:rPr>
            </w:pPr>
            <w:r>
              <w:rPr>
                <w:rFonts w:ascii="Arial" w:hAnsi="Arial" w:cs="Arial"/>
                <w:color w:val="000000"/>
                <w:sz w:val="18"/>
                <w:szCs w:val="18"/>
              </w:rPr>
              <w:t xml:space="preserve">Eksploatavimo sąlygos/</w:t>
            </w:r>
          </w:p>
          <w:p>
            <w:pPr>
              <w:spacing/>
              <w:rPr>
                <w:rFonts w:ascii="Arial" w:hAnsi="Arial" w:cs="Arial"/>
                <w:color w:val="000000"/>
                <w:sz w:val="18"/>
                <w:szCs w:val="18"/>
              </w:rPr>
            </w:pPr>
            <w:r>
              <w:rPr>
                <w:rFonts w:ascii="Arial" w:hAnsi="Arial" w:cs="Arial"/>
                <w:color w:val="000000"/>
                <w:sz w:val="18"/>
                <w:szCs w:val="18"/>
                <w:lang w:val="en-GB"/>
              </w:rPr>
              <w:t xml:space="preserve">Operating conditions</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Lauko/ </w:t>
            </w:r>
            <w:r>
              <w:rPr>
                <w:rFonts w:ascii="Arial" w:hAnsi="Arial" w:cs="Arial"/>
                <w:color w:val="000000"/>
                <w:sz w:val="18"/>
                <w:szCs w:val="18"/>
                <w:lang w:val="en-US"/>
              </w:rPr>
              <w:t xml:space="preserve">Outdoor </w:t>
            </w:r>
            <w:r>
              <w:rPr>
                <w:rFonts w:ascii="Arial" w:hAnsi="Arial" w:cs="Arial"/>
                <w:color w:val="000000"/>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7"/>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Maksimali eksploatavimo aplinkos temperatūra ne žemesnė kaip/</w:t>
            </w:r>
          </w:p>
          <w:p>
            <w:pPr>
              <w:spacing/>
              <w:rPr>
                <w:rFonts w:ascii="Arial" w:hAnsi="Arial" w:cs="Arial"/>
                <w:color w:val="000000"/>
                <w:sz w:val="18"/>
                <w:szCs w:val="18"/>
              </w:rPr>
            </w:pPr>
            <w:r>
              <w:rPr>
                <w:rFonts w:ascii="Arial" w:hAnsi="Arial" w:cs="Arial"/>
                <w:sz w:val="18"/>
                <w:szCs w:val="18"/>
                <w:lang w:val="en-GB"/>
              </w:rPr>
              <w:t xml:space="preserve">Highest operating ambient temperature shall be not less than, </w:t>
            </w:r>
            <w:r>
              <w:rPr>
                <w:rFonts w:ascii="Arial" w:hAnsi="Arial" w:cs="Arial"/>
                <w:sz w:val="18"/>
                <w:szCs w:val="18"/>
                <w:vertAlign w:val="superscript"/>
                <w:lang w:val="en-GB"/>
              </w:rPr>
              <w:t xml:space="preserve">o</w:t>
            </w:r>
            <w:r>
              <w:rPr>
                <w:rFonts w:ascii="Arial" w:hAnsi="Arial" w:cs="Arial"/>
                <w:sz w:val="18"/>
                <w:szCs w:val="18"/>
                <w:lang w:val="en-GB"/>
              </w:rPr>
              <w:t xml:space="preserve">C</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+40 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7"/>
              </w:numPr>
              <w:spacing/>
              <w:rPr>
                <w:rFonts w:ascii="Arial" w:hAnsi="Arial" w:cs="Arial"/>
                <w:sz w:val="18"/>
                <w:szCs w:val="18"/>
              </w:rPr>
            </w:pPr>
          </w:p>
        </w:tc>
        <w:tc>
          <w:tcPr>
            <w:tcW w:type="dxa" w:w="3687"/>
            <w:gridSpan w:val="2"/>
            <w:tcBorders/>
            <w:vAlign w:val="center"/>
          </w:tcPr>
          <w:p>
            <w:pPr>
              <w:spacing/>
              <w:rPr>
                <w:rFonts w:ascii="Arial" w:hAnsi="Arial" w:cs="Arial"/>
                <w:sz w:val="18"/>
                <w:szCs w:val="18"/>
                <w:lang w:val="en-GB"/>
              </w:rPr>
            </w:pPr>
            <w:r>
              <w:rPr>
                <w:rFonts w:ascii="Arial" w:hAnsi="Arial" w:cs="Arial"/>
                <w:sz w:val="18"/>
                <w:szCs w:val="18"/>
              </w:rPr>
              <w:t xml:space="preserve">Minimali eksploatavimo aplinkos temperatūra ne aukštesnė kaip</w:t>
            </w:r>
            <w:r>
              <w:rPr>
                <w:rFonts w:ascii="Arial" w:hAnsi="Arial" w:cs="Arial"/>
                <w:sz w:val="18"/>
                <w:szCs w:val="18"/>
                <w:lang w:val="en-GB"/>
              </w:rPr>
              <w:t xml:space="preserve">/</w:t>
            </w:r>
          </w:p>
          <w:p>
            <w:pPr>
              <w:spacing/>
              <w:rPr>
                <w:rFonts w:ascii="Arial" w:hAnsi="Arial" w:cs="Arial"/>
                <w:color w:val="000000"/>
                <w:sz w:val="18"/>
                <w:szCs w:val="18"/>
              </w:rPr>
            </w:pPr>
            <w:r>
              <w:rPr>
                <w:rFonts w:ascii="Arial" w:hAnsi="Arial" w:cs="Arial"/>
                <w:sz w:val="18"/>
                <w:szCs w:val="18"/>
                <w:lang w:val="en-GB"/>
              </w:rPr>
              <w:t xml:space="preserve">Lowest operating ambient temperature shall be not higher than, </w:t>
            </w:r>
            <w:r>
              <w:rPr>
                <w:rFonts w:ascii="Arial" w:hAnsi="Arial" w:cs="Arial"/>
                <w:sz w:val="18"/>
                <w:szCs w:val="18"/>
                <w:vertAlign w:val="superscript"/>
                <w:lang w:val="en-GB"/>
              </w:rPr>
              <w:t xml:space="preserve">o</w:t>
            </w:r>
            <w:r>
              <w:rPr>
                <w:rFonts w:ascii="Arial" w:hAnsi="Arial" w:cs="Arial"/>
                <w:sz w:val="18"/>
                <w:szCs w:val="18"/>
                <w:lang w:val="en-GB"/>
              </w:rPr>
              <w:t xml:space="preserve">C</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-40 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7"/>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Pastatymo aukštis virš jūros lygio/</w:t>
            </w:r>
          </w:p>
          <w:p>
            <w:pPr>
              <w:spacing/>
              <w:rPr>
                <w:rFonts w:ascii="Arial" w:hAnsi="Arial" w:cs="Arial"/>
                <w:sz w:val="18"/>
                <w:szCs w:val="18"/>
              </w:rPr>
            </w:pPr>
            <w:r>
              <w:rPr>
                <w:rFonts w:ascii="Arial" w:hAnsi="Arial" w:cs="Arial"/>
                <w:color w:val="000000"/>
                <w:sz w:val="18"/>
                <w:szCs w:val="18"/>
                <w:lang w:val="en-US"/>
              </w:rPr>
              <w:t xml:space="preserve">Site altitude above sea level, m</w:t>
            </w:r>
          </w:p>
        </w:tc>
        <w:tc>
          <w:tcPr>
            <w:tcW w:type="dxa" w:w="3687"/>
            <w:tcBorders/>
            <w:vAlign w:val="center"/>
          </w:tcPr>
          <w:p>
            <w:pPr>
              <w:spacing/>
              <w:jc w:val="center"/>
              <w:rPr>
                <w:rFonts w:ascii="Arial" w:hAnsi="Arial" w:cs="Arial"/>
                <w:b/>
                <w:sz w:val="18"/>
                <w:szCs w:val="18"/>
              </w:rPr>
            </w:pPr>
            <w:r>
              <w:rPr>
                <w:rFonts w:ascii="Arial" w:hAnsi="Arial" w:cs="Arial"/>
                <w:color w:val="000000"/>
                <w:sz w:val="18"/>
                <w:szCs w:val="18"/>
              </w:rPr>
              <w:t xml:space="preserve">≤1000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7"/>
              </w:numPr>
              <w:spacing/>
              <w:rPr>
                <w:rFonts w:ascii="Arial" w:hAnsi="Arial" w:cs="Arial"/>
                <w:sz w:val="18"/>
                <w:szCs w:val="18"/>
              </w:rPr>
            </w:pPr>
          </w:p>
        </w:tc>
        <w:tc>
          <w:tcPr>
            <w:tcW w:type="dxa" w:w="3687"/>
            <w:gridSpan w:val="2"/>
            <w:tcBorders/>
            <w:vAlign w:val="center"/>
          </w:tcPr>
          <w:p>
            <w:pPr>
              <w:spacing/>
              <w:rPr>
                <w:rFonts w:ascii="Arial" w:hAnsi="Arial" w:eastAsia="TTE2t00" w:cs="Arial"/>
                <w:sz w:val="18"/>
                <w:szCs w:val="18"/>
              </w:rPr>
            </w:pPr>
            <w:r>
              <w:rPr>
                <w:rFonts w:ascii="Arial" w:hAnsi="Arial" w:cs="Arial"/>
                <w:color w:val="000000"/>
                <w:sz w:val="18"/>
                <w:szCs w:val="18"/>
              </w:rPr>
              <w:t xml:space="preserve">Leidžiamas ledo dangos storis</w:t>
            </w:r>
            <w:r>
              <w:rPr>
                <w:rFonts w:ascii="Arial" w:hAnsi="Arial" w:eastAsia="TTE2t00" w:cs="Arial"/>
                <w:sz w:val="18"/>
                <w:szCs w:val="18"/>
              </w:rPr>
              <w:t xml:space="preserve">/</w:t>
            </w:r>
          </w:p>
          <w:p>
            <w:pPr>
              <w:spacing/>
              <w:rPr>
                <w:rFonts w:ascii="Arial" w:hAnsi="Arial" w:cs="Arial"/>
                <w:color w:val="000000"/>
                <w:sz w:val="18"/>
                <w:szCs w:val="18"/>
                <w:vertAlign w:val="superscript"/>
              </w:rPr>
            </w:pPr>
            <w:r>
              <w:rPr>
                <w:rFonts w:ascii="Arial" w:hAnsi="Arial" w:cs="Arial"/>
                <w:color w:val="000000"/>
                <w:sz w:val="18"/>
                <w:szCs w:val="18"/>
                <w:lang w:val="en-GB"/>
              </w:rPr>
              <w:t xml:space="preserve">Permissible ice coating thickness, mm </w:t>
            </w:r>
            <w:r>
              <w:rPr>
                <w:rFonts w:ascii="Arial" w:hAnsi="Arial" w:cs="Arial"/>
                <w:color w:val="000000"/>
                <w:sz w:val="18"/>
                <w:szCs w:val="18"/>
                <w:vertAlign w:val="superscript"/>
                <w:lang w:val="en-GB"/>
              </w:rPr>
              <w:t xml:space="preserve">2</w:t>
            </w:r>
            <w:r>
              <w:rPr>
                <w:rFonts w:ascii="Arial" w:hAnsi="Arial" w:cs="Arial"/>
                <w:color w:val="000000"/>
                <w:sz w:val="18"/>
                <w:szCs w:val="18"/>
                <w:vertAlign w:val="superscript"/>
                <w:lang w:val="en-GB"/>
              </w:rPr>
              <w:t xml:space="preserve">)</w:t>
            </w:r>
          </w:p>
        </w:tc>
        <w:tc>
          <w:tcPr>
            <w:tcW w:type="dxa" w:w="3687"/>
            <w:tcBorders/>
            <w:vAlign w:val="center"/>
          </w:tcPr>
          <w:p>
            <w:pPr>
              <w:spacing/>
              <w:jc w:val="center"/>
              <w:rPr>
                <w:rFonts w:ascii="Arial" w:hAnsi="Arial" w:cs="Arial"/>
                <w:b/>
                <w:sz w:val="18"/>
                <w:szCs w:val="18"/>
              </w:rPr>
            </w:pPr>
            <w:r>
              <w:rPr>
                <w:rFonts w:ascii="Arial" w:hAnsi="Arial" w:cs="Arial"/>
                <w:sz w:val="18"/>
                <w:szCs w:val="18"/>
              </w:rPr>
              <w:t xml:space="preserve">≥10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7"/>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Didžiausias vėjo greitis/ </w:t>
            </w:r>
          </w:p>
          <w:p>
            <w:pPr>
              <w:spacing/>
              <w:rPr>
                <w:rFonts w:ascii="Arial" w:hAnsi="Arial" w:cs="Arial"/>
                <w:color w:val="000000"/>
                <w:sz w:val="18"/>
                <w:szCs w:val="18"/>
                <w:vertAlign w:val="superscript"/>
              </w:rPr>
            </w:pPr>
            <w:r>
              <w:rPr>
                <w:rFonts w:ascii="Arial" w:hAnsi="Arial" w:cs="Arial"/>
                <w:sz w:val="18"/>
                <w:szCs w:val="18"/>
                <w:lang w:val="en-US"/>
              </w:rPr>
              <w:t xml:space="preserve">Maximum wind velocity, m/s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
                <w:sz w:val="18"/>
                <w:szCs w:val="18"/>
              </w:rPr>
            </w:pPr>
            <w:r>
              <w:rPr>
                <w:rFonts w:ascii="Arial" w:hAnsi="Arial" w:cs="Arial"/>
                <w:sz w:val="18"/>
                <w:szCs w:val="18"/>
              </w:rPr>
              <w:t xml:space="preserve">≥34 </w:t>
            </w:r>
            <w:r>
              <w:rPr>
                <w:rFonts w:ascii="Arial" w:hAnsi="Arial" w:cs="Arial"/>
                <w:color w:val="000000"/>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3.</w:t>
            </w:r>
          </w:p>
        </w:tc>
        <w:tc>
          <w:tcPr>
            <w:tcW w:type="dxa" w:w="14458"/>
            <w:gridSpan w:val="6"/>
            <w:tcBorders/>
            <w:vAlign w:val="center"/>
          </w:tcPr>
          <w:p>
            <w:pPr>
              <w:spacing/>
              <w:jc w:val="center"/>
              <w:rPr>
                <w:rFonts w:ascii="Arial" w:hAnsi="Arial" w:cs="Arial"/>
                <w:sz w:val="18"/>
                <w:szCs w:val="18"/>
              </w:rPr>
            </w:pPr>
            <w:r>
              <w:rPr>
                <w:rFonts w:ascii="Arial" w:hAnsi="Arial" w:cs="Arial"/>
                <w:b/>
                <w:sz w:val="18"/>
                <w:szCs w:val="18"/>
              </w:rPr>
              <w:t xml:space="preserve">Vardiniai dydžiai:/ </w:t>
            </w:r>
            <w:r>
              <w:rPr>
                <w:rFonts w:ascii="Arial" w:hAnsi="Arial" w:cs="Arial"/>
                <w:b/>
                <w:sz w:val="18"/>
                <w:szCs w:val="18"/>
                <w:lang w:val="en-US"/>
              </w:rPr>
              <w:t xml:space="preserve">Rated values:</w:t>
            </w: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Aukščiausioji įrenginio įtampa/</w:t>
            </w:r>
          </w:p>
          <w:p>
            <w:pPr>
              <w:spacing/>
              <w:rPr>
                <w:rFonts w:ascii="Arial" w:hAnsi="Arial" w:cs="Arial"/>
                <w:sz w:val="18"/>
                <w:szCs w:val="18"/>
              </w:rPr>
            </w:pPr>
            <w:r>
              <w:rPr>
                <w:rFonts w:ascii="Arial" w:hAnsi="Arial" w:cs="Arial"/>
                <w:sz w:val="18"/>
                <w:szCs w:val="18"/>
                <w:lang w:val="en-US"/>
              </w:rPr>
              <w:t xml:space="preserve">Highest voltage for equipment</w:t>
            </w:r>
            <w:r>
              <w:rPr>
                <w:rFonts w:ascii="Arial" w:hAnsi="Arial" w:cs="Arial"/>
                <w:sz w:val="18"/>
                <w:szCs w:val="18"/>
              </w:rPr>
              <w:t xml:space="preserve">, (U</w:t>
            </w:r>
            <w:r>
              <w:rPr>
                <w:rFonts w:ascii="Arial" w:hAnsi="Arial" w:cs="Arial"/>
                <w:sz w:val="18"/>
                <w:szCs w:val="18"/>
                <w:vertAlign w:val="subscript"/>
              </w:rPr>
              <w:t xml:space="preserve">m</w:t>
            </w:r>
            <w:r>
              <w:rPr>
                <w:rFonts w:ascii="Arial" w:hAnsi="Arial" w:cs="Arial"/>
                <w:sz w:val="18"/>
                <w:szCs w:val="18"/>
              </w:rPr>
              <w:t xml:space="preserve">), kV</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362</w:t>
            </w:r>
          </w:p>
          <w:p>
            <w:pPr>
              <w:spacing/>
              <w:jc w:val="center"/>
              <w:rPr>
                <w:rFonts w:ascii="Arial" w:hAnsi="Arial" w:cs="Arial"/>
                <w:sz w:val="18"/>
                <w:szCs w:val="18"/>
                <w:lang w:val="en-US"/>
              </w:rPr>
            </w:pPr>
            <w:r>
              <w:rPr>
                <w:rFonts w:ascii="Arial" w:hAnsi="Arial" w:cs="Arial"/>
                <w:sz w:val="18"/>
                <w:szCs w:val="18"/>
              </w:rPr>
              <w:t xml:space="preserve">arba/ </w:t>
            </w:r>
            <w:r>
              <w:rPr>
                <w:rFonts w:ascii="Arial" w:hAnsi="Arial" w:cs="Arial"/>
                <w:sz w:val="18"/>
                <w:szCs w:val="18"/>
                <w:lang w:val="en-US"/>
              </w:rPr>
              <w:t xml:space="preserve">or</w:t>
            </w:r>
          </w:p>
          <w:p>
            <w:pPr>
              <w:spacing/>
              <w:jc w:val="center"/>
              <w:rPr>
                <w:rFonts w:ascii="Arial" w:hAnsi="Arial" w:cs="Arial"/>
                <w:sz w:val="18"/>
                <w:szCs w:val="18"/>
              </w:rPr>
            </w:pPr>
            <w:r>
              <w:rPr>
                <w:rFonts w:ascii="Arial" w:hAnsi="Arial" w:cs="Arial"/>
                <w:sz w:val="18"/>
                <w:szCs w:val="18"/>
              </w:rPr>
              <w:t xml:space="preserve">   </w:t>
            </w:r>
            <w:r>
              <w:rPr>
                <w:rFonts w:ascii="Arial" w:hAnsi="Arial" w:cs="Arial"/>
                <w:sz w:val="18"/>
                <w:szCs w:val="18"/>
              </w:rPr>
              <w:t xml:space="preserve">420</w:t>
            </w: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Žaibo impulso atsparumo įtampa</w:t>
            </w:r>
            <w:r>
              <w:rPr>
                <w:rFonts w:ascii="Arial" w:hAnsi="Arial" w:cs="Arial"/>
                <w:sz w:val="18"/>
                <w:szCs w:val="18"/>
              </w:rPr>
              <w:t xml:space="preserve"> pagal IEC 61869-1</w:t>
            </w:r>
            <w:r>
              <w:rPr>
                <w:rFonts w:ascii="Arial" w:hAnsi="Arial" w:cs="Arial"/>
                <w:sz w:val="18"/>
                <w:szCs w:val="18"/>
              </w:rPr>
              <w:t xml:space="preserve">/ </w:t>
            </w:r>
            <w:r>
              <w:rPr>
                <w:rFonts w:ascii="Arial" w:hAnsi="Arial" w:cs="Arial"/>
                <w:sz w:val="18"/>
                <w:szCs w:val="18"/>
                <w:lang w:val="en-US"/>
              </w:rPr>
              <w:t xml:space="preserve">Lightning impulse withstand voltage</w:t>
            </w:r>
            <w:r>
              <w:rPr>
                <w:rFonts w:ascii="Arial" w:hAnsi="Arial" w:cs="Arial"/>
                <w:sz w:val="18"/>
                <w:szCs w:val="18"/>
                <w:lang w:val="en-US"/>
              </w:rPr>
              <w:t xml:space="preserve"> according to IEC 61869-1</w:t>
            </w:r>
            <w:r>
              <w:rPr>
                <w:rFonts w:ascii="Arial" w:hAnsi="Arial" w:cs="Arial"/>
                <w:sz w:val="18"/>
                <w:szCs w:val="18"/>
                <w:lang w:val="en-US"/>
              </w:rPr>
              <w:t xml:space="preserve">, (U</w:t>
            </w:r>
            <w:r>
              <w:rPr>
                <w:rFonts w:ascii="Arial" w:hAnsi="Arial" w:cs="Arial"/>
                <w:sz w:val="18"/>
                <w:szCs w:val="18"/>
                <w:vertAlign w:val="subscript"/>
                <w:lang w:val="en-US"/>
              </w:rPr>
              <w:t xml:space="preserve">p</w:t>
            </w:r>
            <w:r>
              <w:rPr>
                <w:rFonts w:ascii="Arial" w:hAnsi="Arial" w:cs="Arial"/>
                <w:sz w:val="18"/>
                <w:szCs w:val="18"/>
                <w:lang w:val="en-US"/>
              </w:rPr>
              <w:t xml:space="preserve">), kV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w:t>
            </w:r>
            <w:r>
              <w:rPr>
                <w:rFonts w:ascii="Arial" w:hAnsi="Arial" w:cs="Arial"/>
                <w:sz w:val="18"/>
                <w:szCs w:val="18"/>
              </w:rPr>
              <w:t xml:space="preserve">1175</w:t>
            </w:r>
            <w:r>
              <w:rPr>
                <w:rFonts w:ascii="Arial" w:hAnsi="Arial" w:cs="Arial"/>
                <w:sz w:val="18"/>
                <w:szCs w:val="18"/>
              </w:rPr>
              <w:t xml:space="preserve"> </w:t>
            </w:r>
            <w:r>
              <w:rPr>
                <w:rFonts w:ascii="Arial" w:hAnsi="Arial" w:cs="Arial"/>
                <w:sz w:val="18"/>
                <w:szCs w:val="18"/>
                <w:vertAlign w:val="superscript"/>
              </w:rPr>
              <w:t xml:space="preserve">d)</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Komutacinio impulso atsparumo įtampa</w:t>
            </w:r>
            <w:r>
              <w:rPr>
                <w:rFonts w:ascii="Arial" w:hAnsi="Arial" w:cs="Arial"/>
                <w:sz w:val="18"/>
                <w:szCs w:val="18"/>
              </w:rPr>
              <w:t xml:space="preserve"> drėgnoje aplinkoje</w:t>
            </w:r>
            <w:r>
              <w:rPr>
                <w:rFonts w:ascii="Arial" w:hAnsi="Arial" w:cs="Arial"/>
                <w:sz w:val="18"/>
                <w:szCs w:val="18"/>
              </w:rPr>
              <w:t xml:space="preserve"> (testas lauko tipo transformatoriams drėgnoje aplinkoje) pagal IEC 61869-1</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Switching impulse</w:t>
            </w:r>
            <w:r>
              <w:rPr>
                <w:rFonts w:ascii="Arial" w:hAnsi="Arial" w:cs="Arial"/>
                <w:sz w:val="18"/>
                <w:szCs w:val="18"/>
                <w:lang w:val="en-US"/>
              </w:rPr>
              <w:t xml:space="preserve"> withstand voltage in wet conditions (wet test for outdoor type transformers) </w:t>
            </w:r>
            <w:r>
              <w:rPr>
                <w:rFonts w:ascii="Arial" w:hAnsi="Arial" w:cs="Arial"/>
                <w:sz w:val="18"/>
                <w:szCs w:val="18"/>
                <w:lang w:val="en-US"/>
              </w:rPr>
              <w:t xml:space="preserve">according to IEC 61869-1 </w:t>
            </w:r>
            <w:r>
              <w:rPr>
                <w:rFonts w:ascii="Arial" w:hAnsi="Arial" w:cs="Arial"/>
                <w:sz w:val="18"/>
                <w:szCs w:val="18"/>
                <w:lang w:val="en-US"/>
              </w:rPr>
              <w:t xml:space="preserve">(U</w:t>
            </w:r>
            <w:r>
              <w:rPr>
                <w:rFonts w:ascii="Arial" w:hAnsi="Arial" w:cs="Arial"/>
                <w:sz w:val="18"/>
                <w:szCs w:val="18"/>
                <w:vertAlign w:val="subscript"/>
                <w:lang w:val="en-US"/>
              </w:rPr>
              <w:t xml:space="preserve">d</w:t>
            </w:r>
            <w:r>
              <w:rPr>
                <w:rFonts w:ascii="Arial" w:hAnsi="Arial" w:cs="Arial"/>
                <w:sz w:val="18"/>
                <w:szCs w:val="18"/>
                <w:lang w:val="en-US"/>
              </w:rPr>
              <w:t xml:space="preserve">), kV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w:t>
            </w:r>
            <w:r>
              <w:rPr>
                <w:rFonts w:ascii="Arial" w:hAnsi="Arial" w:cs="Arial"/>
                <w:sz w:val="18"/>
                <w:szCs w:val="18"/>
              </w:rPr>
              <w:t xml:space="preserve">950</w:t>
            </w:r>
            <w:r>
              <w:rPr>
                <w:rFonts w:ascii="Arial" w:hAnsi="Arial" w:cs="Arial"/>
                <w:sz w:val="18"/>
                <w:szCs w:val="18"/>
              </w:rPr>
              <w:t xml:space="preserve"> </w:t>
            </w:r>
            <w:r>
              <w:rPr>
                <w:rFonts w:ascii="Arial" w:hAnsi="Arial" w:cs="Arial"/>
                <w:sz w:val="18"/>
                <w:szCs w:val="18"/>
                <w:vertAlign w:val="superscript"/>
              </w:rPr>
              <w:t xml:space="preserve">d)</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Vardinis dažnis/</w:t>
            </w:r>
          </w:p>
          <w:p>
            <w:pPr>
              <w:spacing/>
              <w:rPr>
                <w:rFonts w:ascii="Arial" w:hAnsi="Arial" w:cs="Arial"/>
                <w:sz w:val="18"/>
                <w:szCs w:val="18"/>
              </w:rPr>
            </w:pPr>
            <w:r>
              <w:rPr>
                <w:rFonts w:ascii="Arial" w:hAnsi="Arial" w:cs="Arial"/>
                <w:sz w:val="18"/>
                <w:szCs w:val="18"/>
                <w:lang w:val="en-US"/>
              </w:rPr>
              <w:t xml:space="preserve">Rated frequency</w:t>
            </w:r>
            <w:r>
              <w:rPr>
                <w:rFonts w:ascii="Arial" w:hAnsi="Arial" w:cs="Arial"/>
                <w:sz w:val="18"/>
                <w:szCs w:val="18"/>
              </w:rPr>
              <w:t xml:space="preserve">, Hz</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50 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1"/>
              </w:numPr>
              <w:spacing/>
              <w:rPr>
                <w:rFonts w:ascii="Arial" w:hAnsi="Arial" w:cs="Arial"/>
                <w:sz w:val="18"/>
                <w:szCs w:val="18"/>
              </w:rPr>
            </w:pPr>
          </w:p>
        </w:tc>
        <w:tc>
          <w:tcPr>
            <w:tcW w:type="dxa" w:w="3687"/>
            <w:gridSpan w:val="2"/>
            <w:tcBorders/>
            <w:vAlign w:val="center"/>
          </w:tcPr>
          <w:p>
            <w:pPr>
              <w:spacing/>
              <w:rPr>
                <w:rFonts w:ascii="Arial" w:hAnsi="Arial" w:cs="Arial"/>
                <w:sz w:val="18"/>
                <w:szCs w:val="18"/>
                <w:lang w:val="en-US"/>
              </w:rPr>
            </w:pPr>
            <w:r>
              <w:rPr>
                <w:rFonts w:ascii="Arial" w:hAnsi="Arial" w:cs="Arial"/>
                <w:sz w:val="18"/>
                <w:szCs w:val="18"/>
              </w:rPr>
              <w:t xml:space="preserve">Tinklo neutralės įžeminimas</w:t>
            </w:r>
            <w:r>
              <w:rPr>
                <w:rFonts w:ascii="Arial" w:hAnsi="Arial" w:cs="Arial"/>
                <w:sz w:val="18"/>
                <w:szCs w:val="18"/>
                <w:lang w:val="en-US"/>
              </w:rPr>
              <w:t xml:space="preserve">/</w:t>
            </w:r>
          </w:p>
          <w:p>
            <w:pPr>
              <w:spacing/>
              <w:rPr>
                <w:rFonts w:ascii="Arial" w:hAnsi="Arial" w:cs="Arial"/>
                <w:sz w:val="18"/>
                <w:szCs w:val="18"/>
              </w:rPr>
            </w:pPr>
            <w:r>
              <w:rPr>
                <w:rFonts w:ascii="Arial" w:hAnsi="Arial" w:cs="Arial"/>
                <w:sz w:val="18"/>
                <w:szCs w:val="18"/>
                <w:lang w:val="en-US"/>
              </w:rPr>
              <w:t xml:space="preserve">Earthing of system neutral</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Tiesiogiai įžeminta</w:t>
            </w:r>
            <w:r>
              <w:rPr>
                <w:rFonts w:ascii="Arial" w:hAnsi="Arial" w:cs="Arial"/>
                <w:sz w:val="18"/>
                <w:szCs w:val="18"/>
                <w:lang w:val="en-US"/>
              </w:rPr>
              <w:t xml:space="preserve">/</w:t>
            </w:r>
          </w:p>
          <w:p>
            <w:pPr>
              <w:spacing/>
              <w:jc w:val="center"/>
              <w:rPr>
                <w:rFonts w:ascii="Arial" w:hAnsi="Arial" w:cs="Arial"/>
                <w:sz w:val="18"/>
                <w:szCs w:val="18"/>
              </w:rPr>
            </w:pPr>
            <w:r>
              <w:rPr>
                <w:rFonts w:ascii="Arial" w:hAnsi="Arial" w:cs="Arial"/>
                <w:sz w:val="18"/>
                <w:szCs w:val="18"/>
                <w:lang w:val="en-US"/>
              </w:rPr>
              <w:t xml:space="preserve">Solidly earthed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restart"/>
            <w:tcBorders/>
            <w:vAlign w:val="center"/>
          </w:tcPr>
          <w:p>
            <w:pPr>
              <w:pStyle w:val="ListParagraph"/>
              <w:numPr>
                <w:ilvl w:val="0"/>
                <w:numId w:val="21"/>
              </w:numPr>
              <w:spacing/>
              <w:rPr>
                <w:rFonts w:ascii="Arial" w:hAnsi="Arial" w:cs="Arial"/>
                <w:sz w:val="18"/>
                <w:szCs w:val="18"/>
              </w:rPr>
            </w:pPr>
          </w:p>
        </w:tc>
        <w:tc>
          <w:tcPr>
            <w:tcW w:type="dxa" w:w="2551"/>
            <w:vMerge w:val="restart"/>
            <w:tcBorders/>
          </w:tcPr>
          <w:p>
            <w:pPr>
              <w:spacing/>
              <w:rPr>
                <w:rFonts w:ascii="Arial" w:hAnsi="Arial" w:cs="Arial"/>
                <w:bCs/>
                <w:sz w:val="18"/>
                <w:szCs w:val="18"/>
              </w:rPr>
            </w:pPr>
            <w:r>
              <w:rPr>
                <w:rFonts w:ascii="Arial" w:hAnsi="Arial" w:cs="Arial"/>
                <w:bCs/>
                <w:sz w:val="18"/>
                <w:szCs w:val="18"/>
              </w:rPr>
              <w:t xml:space="preserve">Mechaninės statinės apkrovos ant pirminių gnybtų</w:t>
            </w:r>
            <w:r>
              <w:rPr>
                <w:rFonts w:ascii="Arial" w:hAnsi="Arial" w:cs="Arial"/>
                <w:bCs/>
                <w:sz w:val="18"/>
                <w:szCs w:val="18"/>
              </w:rPr>
              <w:t xml:space="preserve"> taikytos specialaus bandymo metu</w:t>
            </w:r>
            <w:r>
              <w:rPr>
                <w:rFonts w:ascii="Arial" w:hAnsi="Arial" w:cs="Arial"/>
                <w:bCs/>
                <w:sz w:val="18"/>
                <w:szCs w:val="18"/>
              </w:rPr>
              <w:t xml:space="preserve"> pagal IEC 61869-1</w:t>
            </w:r>
            <w:r>
              <w:rPr>
                <w:rFonts w:ascii="Arial" w:hAnsi="Arial" w:cs="Arial"/>
                <w:bCs/>
                <w:sz w:val="18"/>
                <w:szCs w:val="18"/>
              </w:rPr>
              <w:t xml:space="preserve"> (bandymo trukmė 60s</w:t>
            </w:r>
            <w:r>
              <w:rPr>
                <w:rFonts w:ascii="Arial" w:hAnsi="Arial" w:cs="Arial"/>
                <w:bCs/>
                <w:sz w:val="18"/>
                <w:szCs w:val="18"/>
              </w:rPr>
              <w:t xml:space="preserve"> pagal IEC 61869-1</w:t>
            </w:r>
            <w:r>
              <w:rPr>
                <w:rFonts w:ascii="Arial" w:hAnsi="Arial" w:cs="Arial"/>
                <w:bCs/>
                <w:sz w:val="18"/>
                <w:szCs w:val="18"/>
              </w:rPr>
              <w:t xml:space="preserve">)</w:t>
            </w:r>
            <w:r>
              <w:rPr>
                <w:rFonts w:ascii="Arial" w:hAnsi="Arial" w:cs="Arial"/>
                <w:bCs/>
                <w:sz w:val="18"/>
                <w:szCs w:val="18"/>
              </w:rPr>
              <w:t xml:space="preserve">/</w:t>
            </w:r>
          </w:p>
          <w:p>
            <w:pPr>
              <w:spacing/>
              <w:rPr>
                <w:rFonts w:ascii="Arial" w:hAnsi="Arial" w:cs="Arial"/>
                <w:bCs/>
                <w:sz w:val="18"/>
                <w:szCs w:val="18"/>
                <w:lang w:val="en-US"/>
              </w:rPr>
            </w:pPr>
            <w:r>
              <w:rPr>
                <w:rFonts w:ascii="Arial" w:hAnsi="Arial" w:cs="Arial"/>
                <w:bCs/>
                <w:sz w:val="18"/>
                <w:szCs w:val="18"/>
                <w:lang w:val="en-US"/>
              </w:rPr>
              <w:t xml:space="preserve">Mechanical static loads at the primary terminals</w:t>
            </w:r>
            <w:r>
              <w:rPr>
                <w:rFonts w:ascii="Arial" w:hAnsi="Arial" w:cs="Arial"/>
                <w:bCs/>
                <w:sz w:val="18"/>
                <w:szCs w:val="18"/>
                <w:lang w:val="en-US"/>
              </w:rPr>
              <w:t xml:space="preserve"> applied during the special test</w:t>
            </w:r>
            <w:r>
              <w:rPr>
                <w:rFonts w:ascii="Arial" w:hAnsi="Arial" w:cs="Arial"/>
                <w:bCs/>
                <w:sz w:val="18"/>
                <w:szCs w:val="18"/>
                <w:lang w:val="en-US"/>
              </w:rPr>
              <w:t xml:space="preserve"> according to IEC 61869-1</w:t>
            </w:r>
            <w:r>
              <w:rPr>
                <w:rFonts w:ascii="Arial" w:hAnsi="Arial" w:cs="Arial"/>
                <w:bCs/>
                <w:sz w:val="18"/>
                <w:szCs w:val="18"/>
                <w:lang w:val="en-US"/>
              </w:rPr>
              <w:t xml:space="preserve"> (test duration 60s</w:t>
            </w:r>
            <w:r>
              <w:rPr>
                <w:rFonts w:ascii="Arial" w:hAnsi="Arial" w:cs="Arial"/>
                <w:bCs/>
                <w:sz w:val="18"/>
                <w:szCs w:val="18"/>
                <w:lang w:val="en-US"/>
              </w:rPr>
              <w:t xml:space="preserve"> </w:t>
            </w:r>
            <w:r>
              <w:rPr>
                <w:rFonts w:ascii="Arial" w:hAnsi="Arial" w:cs="Arial"/>
                <w:bCs/>
                <w:sz w:val="18"/>
                <w:szCs w:val="18"/>
                <w:lang w:val="en-US"/>
              </w:rPr>
              <w:t xml:space="preserve">according to</w:t>
            </w:r>
            <w:r>
              <w:rPr>
                <w:rFonts w:ascii="Arial" w:hAnsi="Arial" w:cs="Arial"/>
                <w:bCs/>
                <w:sz w:val="18"/>
                <w:szCs w:val="18"/>
                <w:lang w:val="en-US"/>
              </w:rPr>
              <w:t xml:space="preserve"> IEC 61869-1</w:t>
            </w:r>
            <w:r>
              <w:rPr>
                <w:rFonts w:ascii="Arial" w:hAnsi="Arial" w:cs="Arial"/>
                <w:bCs/>
                <w:sz w:val="18"/>
                <w:szCs w:val="18"/>
                <w:lang w:val="en-US"/>
              </w:rPr>
              <w:t xml:space="preserve">)</w:t>
            </w:r>
            <w:r>
              <w:rPr>
                <w:rFonts w:ascii="Arial" w:hAnsi="Arial" w:cs="Arial"/>
                <w:bCs/>
                <w:sz w:val="18"/>
                <w:szCs w:val="18"/>
                <w:lang w:val="en-US"/>
              </w:rPr>
              <w:t xml:space="preserve"> (F</w:t>
            </w:r>
            <w:r>
              <w:rPr>
                <w:rFonts w:ascii="Arial" w:hAnsi="Arial" w:cs="Arial"/>
                <w:bCs/>
                <w:sz w:val="18"/>
                <w:szCs w:val="18"/>
                <w:vertAlign w:val="subscript"/>
                <w:lang w:val="en-US"/>
              </w:rPr>
              <w:t xml:space="preserve">R</w:t>
            </w:r>
            <w:r>
              <w:rPr>
                <w:rFonts w:ascii="Arial" w:hAnsi="Arial" w:cs="Arial"/>
                <w:bCs/>
                <w:sz w:val="18"/>
                <w:szCs w:val="18"/>
                <w:lang w:val="en-US"/>
              </w:rPr>
              <w:t xml:space="preserve">), N </w:t>
            </w:r>
            <w:r>
              <w:rPr>
                <w:rFonts w:ascii="Arial" w:hAnsi="Arial" w:cs="Arial"/>
                <w:bCs/>
                <w:sz w:val="18"/>
                <w:szCs w:val="18"/>
                <w:vertAlign w:val="superscript"/>
                <w:lang w:val="en-US"/>
              </w:rPr>
              <w:t xml:space="preserve">2</w:t>
            </w:r>
            <w:r>
              <w:rPr>
                <w:rFonts w:ascii="Arial" w:hAnsi="Arial" w:cs="Arial"/>
                <w:bCs/>
                <w:sz w:val="18"/>
                <w:szCs w:val="18"/>
                <w:vertAlign w:val="superscript"/>
                <w:lang w:val="en-US"/>
              </w:rPr>
              <w:t xml:space="preserve">)</w:t>
            </w:r>
            <w:r>
              <w:rPr>
                <w:rFonts w:ascii="Arial" w:hAnsi="Arial" w:cs="Arial"/>
                <w:bCs/>
                <w:sz w:val="18"/>
                <w:szCs w:val="18"/>
                <w:vertAlign w:val="superscript"/>
                <w:lang w:val="en-US"/>
              </w:rPr>
              <w:t xml:space="preserve"> ,</w:t>
            </w:r>
            <w:r>
              <w:rPr>
                <w:rFonts w:ascii="Arial" w:hAnsi="Arial" w:cs="Arial"/>
                <w:bCs/>
                <w:sz w:val="18"/>
                <w:szCs w:val="18"/>
                <w:vertAlign w:val="superscript"/>
                <w:lang w:val="en-US"/>
              </w:rPr>
              <w:t xml:space="preserve"> </w:t>
            </w:r>
            <w:r>
              <w:rPr>
                <w:rFonts w:ascii="Arial" w:hAnsi="Arial" w:cs="Arial"/>
                <w:bCs/>
                <w:sz w:val="18"/>
                <w:szCs w:val="18"/>
                <w:vertAlign w:val="superscript"/>
                <w:lang w:val="en-US"/>
              </w:rPr>
              <w:t xml:space="preserve">3</w:t>
            </w:r>
            <w:r>
              <w:rPr>
                <w:rFonts w:ascii="Arial" w:hAnsi="Arial" w:cs="Arial"/>
                <w:bCs/>
                <w:sz w:val="18"/>
                <w:szCs w:val="18"/>
                <w:vertAlign w:val="superscript"/>
                <w:lang w:val="en-US"/>
              </w:rPr>
              <w:t xml:space="preserve">)</w:t>
            </w:r>
          </w:p>
        </w:tc>
        <w:tc>
          <w:tcPr>
            <w:tcW w:type="dxa" w:w="1136"/>
            <w:tcBorders/>
          </w:tcPr>
          <w:p>
            <w:pPr>
              <w:spacing/>
              <w:jc w:val="both"/>
              <w:rPr>
                <w:rFonts w:ascii="Arial" w:hAnsi="Arial" w:cs="Arial"/>
                <w:bCs/>
                <w:sz w:val="18"/>
                <w:szCs w:val="18"/>
              </w:rPr>
            </w:pPr>
            <w:r>
              <w:rPr>
                <w:rFonts w:ascii="Arial" w:hAnsi="Arial" w:cs="Arial"/>
                <w:bCs/>
                <w:sz w:val="18"/>
                <w:szCs w:val="18"/>
              </w:rPr>
              <w:t xml:space="preserve">Įtampos/</w:t>
            </w:r>
          </w:p>
          <w:p>
            <w:pPr>
              <w:spacing/>
              <w:jc w:val="both"/>
              <w:rPr>
                <w:rFonts w:ascii="Arial" w:hAnsi="Arial" w:cs="Arial"/>
                <w:bCs/>
                <w:sz w:val="18"/>
                <w:szCs w:val="18"/>
              </w:rPr>
            </w:pPr>
            <w:r>
              <w:rPr>
                <w:rFonts w:ascii="Arial" w:hAnsi="Arial" w:cs="Arial"/>
                <w:bCs/>
                <w:sz w:val="18"/>
                <w:szCs w:val="18"/>
                <w:lang w:val="en-US"/>
              </w:rPr>
              <w:t xml:space="preserve">Voltage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1250 </w:t>
            </w:r>
            <w:r>
              <w:rPr>
                <w:rFonts w:ascii="Arial" w:hAnsi="Arial" w:cs="Arial"/>
                <w:sz w:val="18"/>
                <w:szCs w:val="18"/>
                <w:vertAlign w:val="superscript"/>
              </w:rPr>
              <w:t xml:space="preserve">d) arba/</w:t>
            </w:r>
            <w:r>
              <w:rPr>
                <w:rFonts w:ascii="Arial" w:hAnsi="Arial" w:cs="Arial"/>
                <w:sz w:val="18"/>
                <w:szCs w:val="18"/>
                <w:vertAlign w:val="superscript"/>
                <w:lang w:val="en-US"/>
              </w:rPr>
              <w:t xml:space="preserve">or</w:t>
            </w:r>
            <w:r>
              <w:rPr>
                <w:rFonts w:ascii="Arial" w:hAnsi="Arial" w:cs="Arial"/>
                <w:sz w:val="18"/>
                <w:szCs w:val="18"/>
                <w:vertAlign w:val="superscript"/>
              </w:rPr>
              <w:t xml:space="preserve"> 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continue"/>
            <w:tcBorders/>
            <w:vAlign w:val="center"/>
          </w:tcPr>
          <w:p>
            <w:pPr>
              <w:pStyle w:val="ListParagraph"/>
              <w:numPr>
                <w:ilvl w:val="0"/>
                <w:numId w:val="21"/>
              </w:numPr>
              <w:spacing/>
              <w:rPr>
                <w:rFonts w:ascii="Arial" w:hAnsi="Arial" w:cs="Arial"/>
                <w:sz w:val="18"/>
                <w:szCs w:val="18"/>
              </w:rPr>
            </w:pPr>
          </w:p>
        </w:tc>
        <w:tc>
          <w:tcPr>
            <w:tcW w:type="dxa" w:w="2551"/>
            <w:vMerge w:val="continue"/>
            <w:tcBorders/>
          </w:tcPr>
          <w:p>
            <w:pPr>
              <w:spacing/>
              <w:jc w:val="both"/>
              <w:rPr>
                <w:rFonts w:ascii="Arial" w:hAnsi="Arial" w:cs="Arial"/>
                <w:bCs/>
                <w:sz w:val="18"/>
                <w:szCs w:val="18"/>
              </w:rPr>
            </w:pPr>
          </w:p>
        </w:tc>
        <w:tc>
          <w:tcPr>
            <w:tcW w:type="dxa" w:w="1136"/>
            <w:tcBorders/>
            <w:vAlign w:val="center"/>
          </w:tcPr>
          <w:p>
            <w:pPr>
              <w:spacing/>
              <w:rPr>
                <w:rFonts w:ascii="Arial" w:hAnsi="Arial" w:cs="Arial"/>
                <w:bCs/>
                <w:sz w:val="18"/>
                <w:szCs w:val="18"/>
              </w:rPr>
            </w:pPr>
            <w:r>
              <w:rPr>
                <w:rFonts w:ascii="Arial" w:hAnsi="Arial" w:cs="Arial"/>
                <w:bCs/>
                <w:sz w:val="18"/>
                <w:szCs w:val="18"/>
              </w:rPr>
              <w:t xml:space="preserve">Srovės</w:t>
            </w:r>
            <w:r>
              <w:rPr>
                <w:rFonts w:ascii="Arial" w:hAnsi="Arial" w:cs="Arial"/>
                <w:bCs/>
                <w:sz w:val="18"/>
                <w:szCs w:val="18"/>
              </w:rPr>
              <w:t xml:space="preserve"> ir kombinuotiems</w:t>
            </w:r>
            <w:r>
              <w:rPr>
                <w:rFonts w:ascii="Arial" w:hAnsi="Arial" w:cs="Arial"/>
                <w:bCs/>
                <w:sz w:val="18"/>
                <w:szCs w:val="18"/>
              </w:rPr>
              <w:t xml:space="preserve">/ </w:t>
            </w:r>
            <w:r>
              <w:rPr>
                <w:rFonts w:ascii="Arial" w:hAnsi="Arial" w:cs="Arial"/>
                <w:bCs/>
                <w:sz w:val="18"/>
                <w:szCs w:val="18"/>
                <w:lang w:val="en-US"/>
              </w:rPr>
              <w:t xml:space="preserve">Current</w:t>
            </w:r>
            <w:r>
              <w:rPr>
                <w:rFonts w:ascii="Arial" w:hAnsi="Arial" w:cs="Arial"/>
                <w:bCs/>
                <w:sz w:val="18"/>
                <w:szCs w:val="18"/>
                <w:lang w:val="en-US"/>
              </w:rPr>
              <w:t xml:space="preserve"> and combined</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 </w:t>
            </w:r>
            <w:r>
              <w:rPr>
                <w:rFonts w:ascii="Arial" w:hAnsi="Arial" w:cs="Arial"/>
                <w:sz w:val="18"/>
                <w:szCs w:val="18"/>
              </w:rPr>
              <w:t xml:space="preserve">40</w:t>
            </w:r>
            <w:r>
              <w:rPr>
                <w:rFonts w:ascii="Arial" w:hAnsi="Arial" w:cs="Arial"/>
                <w:sz w:val="18"/>
                <w:szCs w:val="18"/>
              </w:rPr>
              <w:t xml:space="preserve">00 </w:t>
            </w:r>
            <w:r>
              <w:rPr>
                <w:rFonts w:ascii="Arial" w:hAnsi="Arial" w:cs="Arial"/>
                <w:sz w:val="18"/>
                <w:szCs w:val="18"/>
                <w:vertAlign w:val="superscript"/>
              </w:rPr>
              <w:t xml:space="preserve">d) arba/</w:t>
            </w:r>
            <w:r>
              <w:rPr>
                <w:rFonts w:ascii="Arial" w:hAnsi="Arial" w:cs="Arial"/>
                <w:sz w:val="18"/>
                <w:szCs w:val="18"/>
                <w:vertAlign w:val="superscript"/>
                <w:lang w:val="en-US"/>
              </w:rPr>
              <w:t xml:space="preserve">or</w:t>
            </w:r>
            <w:r>
              <w:rPr>
                <w:rFonts w:ascii="Arial" w:hAnsi="Arial" w:cs="Arial"/>
                <w:sz w:val="18"/>
                <w:szCs w:val="18"/>
                <w:vertAlign w:val="superscript"/>
              </w:rPr>
              <w:t xml:space="preserve"> 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restart"/>
            <w:tcBorders/>
            <w:vAlign w:val="center"/>
          </w:tcPr>
          <w:p>
            <w:pPr>
              <w:pStyle w:val="ListParagraph"/>
              <w:pageBreakBefore/>
              <w:numPr>
                <w:ilvl w:val="0"/>
                <w:numId w:val="21"/>
              </w:numPr>
              <w:spacing/>
              <w:rPr>
                <w:rFonts w:ascii="Arial" w:hAnsi="Arial" w:cs="Arial"/>
                <w:sz w:val="18"/>
                <w:szCs w:val="18"/>
              </w:rPr>
            </w:pPr>
          </w:p>
        </w:tc>
        <w:tc>
          <w:tcPr>
            <w:tcW w:type="dxa" w:w="2551"/>
            <w:vMerge w:val="restart"/>
            <w:tcBorders/>
            <w:vAlign w:val="center"/>
          </w:tcPr>
          <w:p>
            <w:pPr>
              <w:spacing/>
              <w:jc w:val="both"/>
              <w:rPr>
                <w:rFonts w:ascii="Arial" w:hAnsi="Arial" w:cs="Arial"/>
                <w:bCs/>
                <w:sz w:val="18"/>
                <w:szCs w:val="18"/>
              </w:rPr>
            </w:pPr>
            <w:r>
              <w:rPr>
                <w:rFonts w:ascii="Arial" w:hAnsi="Arial" w:cs="Arial"/>
                <w:bCs/>
                <w:sz w:val="18"/>
                <w:szCs w:val="18"/>
              </w:rPr>
              <w:t xml:space="preserve">Papildoma apsauga nuo sprogimo/</w:t>
            </w:r>
            <w:r>
              <w:rPr>
                <w:rFonts w:ascii="Arial" w:hAnsi="Arial" w:cs="Arial"/>
                <w:bCs/>
                <w:sz w:val="18"/>
                <w:szCs w:val="18"/>
                <w:lang w:val="en-US"/>
              </w:rPr>
              <w:t xml:space="preserve"> Additional protection</w:t>
            </w:r>
            <w:r>
              <w:rPr>
                <w:rFonts w:ascii="Arial" w:hAnsi="Arial" w:cs="Arial"/>
                <w:bCs/>
                <w:sz w:val="18"/>
                <w:szCs w:val="18"/>
                <w:lang w:val="en-US"/>
              </w:rPr>
              <w:t xml:space="preserve"> against explosion</w:t>
            </w:r>
          </w:p>
        </w:tc>
        <w:tc>
          <w:tcPr>
            <w:tcW w:type="dxa" w:w="1136"/>
            <w:tcBorders/>
            <w:vAlign w:val="center"/>
          </w:tcPr>
          <w:p>
            <w:pPr>
              <w:spacing/>
              <w:rPr>
                <w:rFonts w:ascii="Arial" w:hAnsi="Arial" w:cs="Arial"/>
                <w:bCs/>
                <w:sz w:val="18"/>
                <w:szCs w:val="18"/>
              </w:rPr>
            </w:pPr>
            <w:r>
              <w:rPr>
                <w:rFonts w:ascii="Arial" w:hAnsi="Arial" w:cs="Arial"/>
                <w:sz w:val="18"/>
                <w:szCs w:val="18"/>
              </w:rPr>
              <w:t xml:space="preserve">Srovės</w:t>
            </w:r>
            <w:r>
              <w:rPr>
                <w:rFonts w:ascii="Arial" w:hAnsi="Arial" w:cs="Arial"/>
                <w:sz w:val="18"/>
                <w:szCs w:val="18"/>
                <w:lang w:val="en-US"/>
              </w:rPr>
              <w:t xml:space="preserve">/ Current</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Apsaugos nuo vidinio išlydžio klasė pagal IEC 61869-1 ne žemesnė kaip I</w:t>
            </w:r>
            <w:r>
              <w:rPr>
                <w:rFonts w:ascii="Arial" w:hAnsi="Arial" w:cs="Arial"/>
                <w:bCs/>
                <w:sz w:val="18"/>
                <w:szCs w:val="18"/>
              </w:rPr>
              <w:t xml:space="preserve">/</w:t>
            </w:r>
          </w:p>
          <w:p>
            <w:pPr>
              <w:spacing/>
              <w:jc w:val="center"/>
              <w:rPr>
                <w:rFonts w:ascii="Arial" w:hAnsi="Arial" w:cs="Arial"/>
                <w:sz w:val="18"/>
                <w:szCs w:val="18"/>
              </w:rPr>
            </w:pPr>
            <w:r>
              <w:rPr>
                <w:rFonts w:ascii="Arial" w:hAnsi="Arial" w:cs="Arial"/>
                <w:bCs/>
                <w:sz w:val="18"/>
                <w:szCs w:val="18"/>
                <w:lang w:val="en-US"/>
              </w:rPr>
              <w:t xml:space="preserve">Internal arc fault protection class according to IEC 61869-1 not less than </w:t>
            </w:r>
            <w:r>
              <w:rPr>
                <w:rFonts w:ascii="Arial" w:hAnsi="Arial" w:cs="Arial"/>
                <w:bCs/>
                <w:sz w:val="18"/>
                <w:szCs w:val="18"/>
                <w:lang w:val="en-US"/>
              </w:rPr>
              <w:t xml:space="preserve">I </w:t>
            </w:r>
            <w:r>
              <w:rPr>
                <w:rFonts w:ascii="Arial" w:hAnsi="Arial" w:cs="Arial"/>
                <w:bCs/>
                <w:sz w:val="18"/>
                <w:szCs w:val="18"/>
                <w:vertAlign w:val="superscript"/>
                <w:lang w:val="en-US"/>
              </w:rPr>
              <w:t xml:space="preserve">a</w:t>
            </w:r>
            <w:r>
              <w:rPr>
                <w:rFonts w:ascii="Arial" w:hAnsi="Arial" w:cs="Arial"/>
                <w:bCs/>
                <w:sz w:val="18"/>
                <w:szCs w:val="18"/>
                <w:vertAlign w:val="superscript"/>
                <w:lang w:val="en-US"/>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continue"/>
            <w:tcBorders/>
            <w:vAlign w:val="center"/>
          </w:tcPr>
          <w:p>
            <w:pPr>
              <w:pStyle w:val="ListParagraph"/>
              <w:numPr>
                <w:ilvl w:val="0"/>
                <w:numId w:val="21"/>
              </w:numPr>
              <w:spacing/>
              <w:rPr>
                <w:rFonts w:ascii="Arial" w:hAnsi="Arial" w:cs="Arial"/>
                <w:sz w:val="18"/>
                <w:szCs w:val="18"/>
              </w:rPr>
            </w:pPr>
          </w:p>
        </w:tc>
        <w:tc>
          <w:tcPr>
            <w:tcW w:type="dxa" w:w="2551"/>
            <w:vMerge w:val="continue"/>
            <w:tcBorders/>
          </w:tcPr>
          <w:p>
            <w:pPr>
              <w:spacing/>
              <w:jc w:val="both"/>
              <w:rPr>
                <w:rFonts w:ascii="Arial" w:hAnsi="Arial" w:cs="Arial"/>
                <w:bCs/>
                <w:sz w:val="18"/>
                <w:szCs w:val="18"/>
              </w:rPr>
            </w:pPr>
          </w:p>
        </w:tc>
        <w:tc>
          <w:tcPr>
            <w:tcW w:type="dxa" w:w="1136"/>
            <w:tcBorders/>
            <w:vAlign w:val="center"/>
          </w:tcPr>
          <w:p>
            <w:pPr>
              <w:spacing/>
              <w:rPr>
                <w:rFonts w:ascii="Arial" w:hAnsi="Arial" w:cs="Arial"/>
                <w:bCs/>
                <w:sz w:val="18"/>
                <w:szCs w:val="18"/>
              </w:rPr>
            </w:pPr>
            <w:r>
              <w:rPr>
                <w:rFonts w:ascii="Arial" w:hAnsi="Arial" w:cs="Arial"/>
                <w:bCs/>
                <w:sz w:val="18"/>
                <w:szCs w:val="18"/>
              </w:rPr>
              <w:t xml:space="preserve">Įtampos ir kombinuoti</w:t>
            </w:r>
            <w:r>
              <w:rPr>
                <w:rFonts w:ascii="Arial" w:hAnsi="Arial" w:cs="Arial"/>
                <w:bCs/>
                <w:sz w:val="18"/>
                <w:szCs w:val="18"/>
                <w:lang w:val="en-US"/>
              </w:rPr>
              <w:t xml:space="preserve">/ Voltage and combined</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Apsaugos nuo vidinio išlydžio klasė pagal IEC 61869-1 ne žemesnė kaip I</w:t>
            </w:r>
          </w:p>
          <w:p>
            <w:pPr>
              <w:spacing/>
              <w:jc w:val="center"/>
              <w:rPr>
                <w:rFonts w:ascii="Arial" w:hAnsi="Arial" w:cs="Arial"/>
                <w:bCs/>
                <w:i/>
                <w:iCs/>
                <w:sz w:val="18"/>
                <w:szCs w:val="18"/>
              </w:rPr>
            </w:pPr>
            <w:r>
              <w:rPr>
                <w:rFonts w:ascii="Arial" w:hAnsi="Arial" w:cs="Arial"/>
                <w:bCs/>
                <w:i/>
                <w:iCs/>
                <w:sz w:val="18"/>
                <w:szCs w:val="18"/>
              </w:rPr>
              <w:t xml:space="preserve">arba</w:t>
            </w:r>
          </w:p>
          <w:p>
            <w:pPr>
              <w:spacing/>
              <w:jc w:val="center"/>
              <w:rPr>
                <w:rFonts w:ascii="Arial" w:hAnsi="Arial" w:cs="Arial"/>
                <w:bCs/>
                <w:sz w:val="18"/>
                <w:szCs w:val="18"/>
              </w:rPr>
            </w:pPr>
            <w:r>
              <w:rPr>
                <w:rFonts w:ascii="Arial" w:hAnsi="Arial" w:cs="Arial"/>
                <w:bCs/>
                <w:sz w:val="18"/>
                <w:szCs w:val="18"/>
              </w:rPr>
              <w:t xml:space="preserve">Kompozitiniai silikono izoliatoriai/</w:t>
            </w:r>
          </w:p>
          <w:p>
            <w:pPr>
              <w:spacing/>
              <w:jc w:val="center"/>
              <w:rPr>
                <w:rFonts w:ascii="Arial" w:hAnsi="Arial" w:cs="Arial"/>
                <w:bCs/>
                <w:sz w:val="18"/>
                <w:szCs w:val="18"/>
                <w:lang w:val="en-US"/>
              </w:rPr>
            </w:pPr>
            <w:r>
              <w:rPr>
                <w:rFonts w:ascii="Arial" w:hAnsi="Arial" w:cs="Arial"/>
                <w:bCs/>
                <w:sz w:val="18"/>
                <w:szCs w:val="18"/>
                <w:lang w:val="en-US"/>
              </w:rPr>
              <w:t xml:space="preserve">Internal arc fault protection class according to IEC 61869-1 not less than I</w:t>
            </w:r>
          </w:p>
          <w:p>
            <w:pPr>
              <w:spacing/>
              <w:jc w:val="center"/>
              <w:rPr>
                <w:rFonts w:ascii="Arial" w:hAnsi="Arial" w:cs="Arial"/>
                <w:bCs/>
                <w:i/>
                <w:iCs/>
                <w:sz w:val="18"/>
                <w:szCs w:val="18"/>
                <w:lang w:val="en-US"/>
              </w:rPr>
            </w:pPr>
            <w:r>
              <w:rPr>
                <w:rFonts w:ascii="Arial" w:hAnsi="Arial" w:cs="Arial"/>
                <w:bCs/>
                <w:i/>
                <w:iCs/>
                <w:sz w:val="18"/>
                <w:szCs w:val="18"/>
                <w:lang w:val="en-US"/>
              </w:rPr>
              <w:t xml:space="preserve">or</w:t>
            </w:r>
          </w:p>
          <w:p>
            <w:pPr>
              <w:spacing/>
              <w:jc w:val="center"/>
              <w:rPr>
                <w:rFonts w:ascii="Arial" w:hAnsi="Arial" w:cs="Arial"/>
                <w:sz w:val="18"/>
                <w:szCs w:val="18"/>
              </w:rPr>
            </w:pPr>
            <w:r>
              <w:rPr>
                <w:rFonts w:ascii="Arial" w:hAnsi="Arial" w:cs="Arial"/>
                <w:bCs/>
                <w:sz w:val="18"/>
                <w:szCs w:val="18"/>
                <w:lang w:val="en-US"/>
              </w:rPr>
              <w:t xml:space="preserve">Composite silicone insulators </w:t>
            </w:r>
            <w:r>
              <w:rPr>
                <w:rFonts w:ascii="Arial" w:hAnsi="Arial" w:cs="Arial"/>
                <w:bCs/>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4.</w:t>
            </w:r>
          </w:p>
        </w:tc>
        <w:tc>
          <w:tcPr>
            <w:tcW w:type="dxa" w:w="14458"/>
            <w:gridSpan w:val="6"/>
            <w:tcBorders/>
            <w:vAlign w:val="center"/>
          </w:tcPr>
          <w:p>
            <w:pPr>
              <w:spacing/>
              <w:jc w:val="center"/>
              <w:rPr>
                <w:rFonts w:ascii="Arial" w:hAnsi="Arial" w:cs="Arial"/>
                <w:sz w:val="18"/>
                <w:szCs w:val="18"/>
              </w:rPr>
            </w:pPr>
            <w:r>
              <w:rPr>
                <w:rFonts w:ascii="Arial" w:hAnsi="Arial" w:cs="Arial"/>
                <w:b/>
                <w:sz w:val="18"/>
                <w:szCs w:val="18"/>
              </w:rPr>
              <w:t xml:space="preserve">Transformatoriaus konstrukcija:/ </w:t>
            </w:r>
            <w:r>
              <w:rPr>
                <w:rFonts w:ascii="Arial" w:hAnsi="Arial" w:cs="Arial"/>
                <w:b/>
                <w:sz w:val="18"/>
                <w:szCs w:val="18"/>
                <w:lang w:val="en-US"/>
              </w:rPr>
              <w:t xml:space="preserve">Design of transformer:</w:t>
            </w: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Konstrukcijos tipas/</w:t>
            </w:r>
          </w:p>
          <w:p>
            <w:pPr>
              <w:spacing/>
              <w:rPr>
                <w:rFonts w:ascii="Arial" w:hAnsi="Arial" w:cs="Arial"/>
                <w:sz w:val="18"/>
                <w:szCs w:val="18"/>
              </w:rPr>
            </w:pPr>
            <w:r>
              <w:rPr>
                <w:rFonts w:ascii="Arial" w:hAnsi="Arial" w:cs="Arial"/>
                <w:sz w:val="18"/>
                <w:szCs w:val="18"/>
                <w:lang w:val="en-US"/>
              </w:rPr>
              <w:t xml:space="preserve">Type of construction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Hermetiškas, vienfazis, indukcinis transformatorius/</w:t>
            </w:r>
          </w:p>
          <w:p>
            <w:pPr>
              <w:spacing/>
              <w:jc w:val="center"/>
              <w:rPr>
                <w:rFonts w:ascii="Arial" w:hAnsi="Arial" w:cs="Arial"/>
                <w:sz w:val="18"/>
                <w:szCs w:val="18"/>
              </w:rPr>
            </w:pPr>
            <w:r>
              <w:rPr>
                <w:rFonts w:ascii="Arial" w:hAnsi="Arial" w:cs="Arial"/>
                <w:sz w:val="18"/>
                <w:szCs w:val="18"/>
                <w:lang w:val="en-US"/>
              </w:rPr>
              <w:t xml:space="preserve">Hermetically sealed, single phase, inductive transformer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Pagrindinė izoliacija/</w:t>
            </w:r>
          </w:p>
          <w:p>
            <w:pPr>
              <w:spacing/>
              <w:rPr>
                <w:rFonts w:ascii="Arial" w:hAnsi="Arial" w:cs="Arial"/>
                <w:sz w:val="18"/>
                <w:szCs w:val="18"/>
              </w:rPr>
            </w:pPr>
            <w:r>
              <w:rPr>
                <w:rFonts w:ascii="Arial" w:hAnsi="Arial" w:cs="Arial"/>
                <w:sz w:val="18"/>
                <w:szCs w:val="18"/>
                <w:lang w:val="en-US"/>
              </w:rPr>
              <w:t xml:space="preserve">Primary insulation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Popierius - alyva/</w:t>
            </w:r>
          </w:p>
          <w:p>
            <w:pPr>
              <w:spacing/>
              <w:jc w:val="center"/>
              <w:rPr>
                <w:rFonts w:ascii="Arial" w:hAnsi="Arial" w:cs="Arial"/>
                <w:sz w:val="18"/>
                <w:szCs w:val="18"/>
              </w:rPr>
            </w:pPr>
            <w:r>
              <w:rPr>
                <w:rFonts w:ascii="Arial" w:hAnsi="Arial" w:cs="Arial"/>
                <w:sz w:val="18"/>
                <w:szCs w:val="18"/>
                <w:lang w:val="en-US"/>
              </w:rPr>
              <w:t xml:space="preserve">Paper - oil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Terminio alyvos išsiplėtimo kompensavimas/</w:t>
            </w:r>
          </w:p>
          <w:p>
            <w:pPr>
              <w:spacing/>
              <w:rPr>
                <w:rFonts w:ascii="Arial" w:hAnsi="Arial" w:cs="Arial"/>
                <w:sz w:val="18"/>
                <w:szCs w:val="18"/>
              </w:rPr>
            </w:pPr>
            <w:r>
              <w:rPr>
                <w:rFonts w:ascii="Arial" w:hAnsi="Arial" w:cs="Arial"/>
                <w:sz w:val="18"/>
                <w:szCs w:val="18"/>
                <w:lang w:val="en-US"/>
              </w:rPr>
              <w:t xml:space="preserve">Thermal oil expansion compensation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Plėtimosi dumplės/</w:t>
            </w:r>
          </w:p>
          <w:p>
            <w:pPr>
              <w:spacing/>
              <w:jc w:val="center"/>
              <w:rPr>
                <w:rFonts w:ascii="Arial" w:hAnsi="Arial" w:cs="Arial"/>
                <w:sz w:val="18"/>
                <w:szCs w:val="18"/>
              </w:rPr>
            </w:pPr>
            <w:r>
              <w:rPr>
                <w:rFonts w:ascii="Arial" w:hAnsi="Arial" w:cs="Arial"/>
                <w:sz w:val="18"/>
                <w:szCs w:val="18"/>
                <w:lang w:val="en-US"/>
              </w:rPr>
              <w:t xml:space="preserve">Expansion bellows</w:t>
            </w: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Plėtimosi dumplių pagaminimo medžiaga/ </w:t>
            </w:r>
            <w:r>
              <w:rPr>
                <w:rFonts w:ascii="Arial" w:hAnsi="Arial" w:cs="Arial"/>
                <w:sz w:val="18"/>
                <w:szCs w:val="18"/>
                <w:lang w:val="en-US"/>
              </w:rPr>
              <w:t xml:space="preserve">Material of expansion bellows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Nerūdijantis plienas/</w:t>
            </w:r>
          </w:p>
          <w:p>
            <w:pPr>
              <w:spacing/>
              <w:jc w:val="center"/>
              <w:rPr>
                <w:rFonts w:ascii="Arial" w:hAnsi="Arial" w:cs="Arial"/>
                <w:sz w:val="18"/>
                <w:szCs w:val="18"/>
              </w:rPr>
            </w:pPr>
            <w:r>
              <w:rPr>
                <w:rFonts w:ascii="Arial" w:hAnsi="Arial" w:cs="Arial"/>
                <w:sz w:val="18"/>
                <w:szCs w:val="18"/>
                <w:lang w:val="en-US"/>
              </w:rPr>
              <w:t xml:space="preserve">Stainless steel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Vietinė alyvos lygio indikacija/</w:t>
            </w:r>
          </w:p>
          <w:p>
            <w:pPr>
              <w:spacing/>
              <w:rPr>
                <w:rFonts w:ascii="Arial" w:hAnsi="Arial" w:cs="Arial"/>
                <w:sz w:val="18"/>
                <w:szCs w:val="18"/>
              </w:rPr>
            </w:pPr>
            <w:r>
              <w:rPr>
                <w:rFonts w:ascii="Arial" w:hAnsi="Arial" w:cs="Arial"/>
                <w:sz w:val="18"/>
                <w:szCs w:val="18"/>
                <w:lang w:val="en-US"/>
              </w:rPr>
              <w:t xml:space="preserve">Indication of oil level for visual inspection</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Mechaninė, įrengta ant plėtimosi dumplių/ </w:t>
            </w:r>
            <w:r>
              <w:rPr>
                <w:rFonts w:ascii="Arial" w:hAnsi="Arial" w:cs="Arial"/>
                <w:sz w:val="18"/>
                <w:szCs w:val="18"/>
                <w:lang w:val="en-US"/>
              </w:rPr>
              <w:t xml:space="preserve">Mechanical, equipped on an expansion bellows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Transformatorių įžeminimas/</w:t>
            </w:r>
          </w:p>
          <w:p>
            <w:pPr>
              <w:spacing/>
              <w:rPr>
                <w:rFonts w:ascii="Arial" w:hAnsi="Arial" w:cs="Arial"/>
                <w:sz w:val="18"/>
                <w:szCs w:val="18"/>
              </w:rPr>
            </w:pPr>
            <w:r>
              <w:rPr>
                <w:rFonts w:ascii="Arial" w:hAnsi="Arial" w:cs="Arial"/>
                <w:sz w:val="18"/>
                <w:szCs w:val="18"/>
                <w:lang w:val="en-US"/>
              </w:rPr>
              <w:t xml:space="preserve">Earthing of transformers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Įžeminimo taškai apatinėje metalinėje transformatoriaus dalyje/</w:t>
            </w:r>
          </w:p>
          <w:p>
            <w:pPr>
              <w:spacing/>
              <w:jc w:val="center"/>
              <w:rPr>
                <w:rFonts w:ascii="Arial" w:hAnsi="Arial" w:cs="Arial"/>
                <w:sz w:val="18"/>
                <w:szCs w:val="18"/>
                <w:vertAlign w:val="superscript"/>
              </w:rPr>
            </w:pPr>
            <w:r>
              <w:rPr>
                <w:rFonts w:ascii="Arial" w:hAnsi="Arial" w:cs="Arial"/>
                <w:sz w:val="18"/>
                <w:szCs w:val="18"/>
                <w:lang w:val="en-US"/>
              </w:rPr>
              <w:t xml:space="preserve">Earthing points on lower metallic part of each transformer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Transformatoriaus pastatymui jo konstrukcijoje turi būti numatytos/</w:t>
            </w:r>
          </w:p>
          <w:p>
            <w:pPr>
              <w:spacing/>
              <w:rPr>
                <w:rFonts w:ascii="Arial" w:hAnsi="Arial" w:cs="Arial"/>
                <w:sz w:val="18"/>
                <w:szCs w:val="18"/>
              </w:rPr>
            </w:pPr>
            <w:r>
              <w:rPr>
                <w:rFonts w:ascii="Arial" w:hAnsi="Arial" w:cs="Arial"/>
                <w:sz w:val="18"/>
                <w:szCs w:val="18"/>
                <w:lang w:val="en-US"/>
              </w:rPr>
              <w:t xml:space="preserve">For mounting transformers shall be equipped with</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Neišardomos kėlimo kilpos/</w:t>
            </w:r>
          </w:p>
          <w:p>
            <w:pPr>
              <w:spacing/>
              <w:jc w:val="center"/>
              <w:rPr>
                <w:rFonts w:ascii="Arial" w:hAnsi="Arial" w:cs="Arial"/>
                <w:sz w:val="18"/>
                <w:szCs w:val="18"/>
                <w:vertAlign w:val="superscript"/>
              </w:rPr>
            </w:pPr>
            <w:r>
              <w:rPr>
                <w:rFonts w:ascii="Arial" w:hAnsi="Arial" w:cs="Arial"/>
                <w:sz w:val="18"/>
                <w:szCs w:val="18"/>
                <w:lang w:val="en-US"/>
              </w:rPr>
              <w:t xml:space="preserve">Non-dismountable lifting eyes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ageBreakBefore/>
              <w:spacing/>
              <w:jc w:val="center"/>
              <w:rPr>
                <w:rFonts w:ascii="Arial" w:hAnsi="Arial" w:cs="Arial"/>
                <w:b/>
                <w:bCs/>
                <w:sz w:val="18"/>
                <w:szCs w:val="18"/>
              </w:rPr>
            </w:pPr>
            <w:r>
              <w:rPr>
                <w:rFonts w:ascii="Arial" w:hAnsi="Arial" w:cs="Arial"/>
                <w:b/>
                <w:bCs/>
                <w:sz w:val="18"/>
                <w:szCs w:val="18"/>
              </w:rPr>
              <w:t xml:space="preserve">5.</w:t>
            </w:r>
          </w:p>
        </w:tc>
        <w:tc>
          <w:tcPr>
            <w:tcW w:type="dxa" w:w="14458"/>
            <w:gridSpan w:val="6"/>
            <w:tcBorders/>
            <w:vAlign w:val="center"/>
          </w:tcPr>
          <w:p>
            <w:pPr>
              <w:spacing/>
              <w:jc w:val="center"/>
              <w:rPr>
                <w:rFonts w:ascii="Arial" w:hAnsi="Arial" w:cs="Arial"/>
                <w:b/>
                <w:bCs/>
                <w:sz w:val="18"/>
                <w:szCs w:val="18"/>
              </w:rPr>
            </w:pPr>
            <w:r>
              <w:rPr>
                <w:rFonts w:ascii="Arial" w:hAnsi="Arial" w:cs="Arial"/>
                <w:b/>
                <w:bCs/>
                <w:sz w:val="18"/>
                <w:szCs w:val="18"/>
              </w:rPr>
              <w:t xml:space="preserve">Izoliatoriai</w:t>
            </w:r>
            <w:r>
              <w:rPr>
                <w:rFonts w:ascii="Arial" w:hAnsi="Arial" w:cs="Arial"/>
                <w:b/>
                <w:bCs/>
                <w:sz w:val="18"/>
                <w:szCs w:val="18"/>
              </w:rPr>
              <w:t xml:space="preserve"> </w:t>
            </w:r>
            <w:r>
              <w:rPr>
                <w:rFonts w:ascii="Arial" w:hAnsi="Arial" w:cs="Arial"/>
                <w:b/>
                <w:bCs/>
                <w:sz w:val="18"/>
                <w:szCs w:val="18"/>
              </w:rPr>
              <w:t xml:space="preserve">(taikoma visiems matavimo transformatoriams, kurių apsaugos nuo vidinio išlydžio klasė ne žemesnė kaip I)</w:t>
            </w:r>
            <w:r>
              <w:rPr>
                <w:rFonts w:ascii="Arial" w:hAnsi="Arial" w:cs="Arial"/>
                <w:b/>
                <w:bCs/>
                <w:sz w:val="18"/>
                <w:szCs w:val="18"/>
              </w:rPr>
              <w:t xml:space="preserve">:/</w:t>
            </w:r>
          </w:p>
          <w:p>
            <w:pPr>
              <w:spacing/>
              <w:jc w:val="center"/>
              <w:rPr>
                <w:rFonts w:ascii="Arial" w:hAnsi="Arial" w:cs="Arial"/>
                <w:sz w:val="18"/>
                <w:szCs w:val="18"/>
              </w:rPr>
            </w:pPr>
            <w:r>
              <w:rPr>
                <w:rFonts w:ascii="Arial" w:hAnsi="Arial" w:cs="Arial"/>
                <w:b/>
                <w:bCs/>
                <w:sz w:val="18"/>
                <w:szCs w:val="18"/>
                <w:lang w:val="en-US"/>
              </w:rPr>
              <w:t xml:space="preserve">Insulators</w:t>
            </w:r>
            <w:r>
              <w:rPr>
                <w:rFonts w:ascii="Arial" w:hAnsi="Arial" w:cs="Arial"/>
                <w:b/>
                <w:bCs/>
                <w:sz w:val="18"/>
                <w:szCs w:val="18"/>
                <w:lang w:val="en-US"/>
              </w:rPr>
              <w:t xml:space="preserve"> (applicable for all transformers with internal arc fault protection not less than I)</w:t>
            </w:r>
            <w:r>
              <w:rPr>
                <w:rFonts w:ascii="Arial" w:hAnsi="Arial" w:cs="Arial"/>
                <w:b/>
                <w:bCs/>
                <w:sz w:val="18"/>
                <w:szCs w:val="18"/>
                <w:lang w:val="en-US"/>
              </w:rPr>
              <w:t xml:space="preserve">:</w:t>
            </w:r>
          </w:p>
        </w:tc>
      </w:tr>
      <w:tr>
        <w:trPr>
          <w:cantSplit/>
        </w:trPr>
        <w:tc>
          <w:tcPr>
            <w:tcW w:type="dxa" w:w="705"/>
            <w:tcBorders/>
            <w:vAlign w:val="center"/>
          </w:tcPr>
          <w:p>
            <w:pPr>
              <w:pStyle w:val="ListParagraph"/>
              <w:numPr>
                <w:ilvl w:val="0"/>
                <w:numId w:val="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Izoliatorių konstrukcija/</w:t>
            </w:r>
          </w:p>
          <w:p>
            <w:pPr>
              <w:spacing/>
              <w:rPr>
                <w:rFonts w:ascii="Arial" w:hAnsi="Arial" w:cs="Arial"/>
                <w:sz w:val="18"/>
                <w:szCs w:val="18"/>
              </w:rPr>
            </w:pPr>
            <w:r>
              <w:rPr>
                <w:rFonts w:ascii="Arial" w:hAnsi="Arial" w:cs="Arial"/>
                <w:sz w:val="18"/>
                <w:szCs w:val="18"/>
                <w:lang w:val="en-US"/>
              </w:rPr>
              <w:t xml:space="preserve">Structure of insulators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Tuščiaviduriai keraminiai izoliatoriai/</w:t>
            </w:r>
          </w:p>
          <w:p>
            <w:pPr>
              <w:spacing/>
              <w:jc w:val="center"/>
              <w:rPr>
                <w:rFonts w:ascii="Arial" w:hAnsi="Arial" w:cs="Arial"/>
                <w:sz w:val="18"/>
                <w:szCs w:val="18"/>
              </w:rPr>
            </w:pPr>
            <w:r>
              <w:rPr>
                <w:rFonts w:ascii="Arial" w:hAnsi="Arial" w:cs="Arial"/>
                <w:sz w:val="18"/>
                <w:szCs w:val="18"/>
                <w:lang w:val="en-US"/>
              </w:rPr>
              <w:t xml:space="preserve">Hollow ceramic insulators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medžiaga/</w:t>
            </w:r>
          </w:p>
          <w:p>
            <w:pPr>
              <w:spacing/>
              <w:rPr>
                <w:rFonts w:ascii="Arial" w:hAnsi="Arial" w:cs="Arial"/>
                <w:sz w:val="18"/>
                <w:szCs w:val="18"/>
              </w:rPr>
            </w:pPr>
            <w:r>
              <w:rPr>
                <w:rFonts w:ascii="Arial" w:hAnsi="Arial" w:cs="Arial"/>
                <w:sz w:val="18"/>
                <w:szCs w:val="18"/>
                <w:lang w:val="en-US"/>
              </w:rPr>
              <w:t xml:space="preserve">Material of insulator</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Porcelianas/ </w:t>
            </w:r>
            <w:r>
              <w:rPr>
                <w:rFonts w:ascii="Arial" w:hAnsi="Arial" w:cs="Arial"/>
                <w:sz w:val="18"/>
                <w:szCs w:val="18"/>
                <w:lang w:val="en-US"/>
              </w:rPr>
              <w:t xml:space="preserve">Porcelain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Porceliano grupė pagal IEC 60672/</w:t>
            </w:r>
          </w:p>
          <w:p>
            <w:pPr>
              <w:spacing/>
              <w:rPr>
                <w:rFonts w:ascii="Arial" w:hAnsi="Arial" w:cs="Arial"/>
                <w:sz w:val="18"/>
                <w:szCs w:val="18"/>
              </w:rPr>
            </w:pPr>
            <w:r>
              <w:rPr>
                <w:rFonts w:ascii="Arial" w:hAnsi="Arial" w:cs="Arial"/>
                <w:sz w:val="18"/>
                <w:szCs w:val="18"/>
                <w:lang w:val="en-US"/>
              </w:rPr>
              <w:t xml:space="preserve">Group of porcelain according to IEC 60672</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C130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4"/>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spalva/</w:t>
            </w:r>
          </w:p>
          <w:p>
            <w:pPr>
              <w:spacing/>
              <w:rPr>
                <w:rFonts w:ascii="Arial" w:hAnsi="Arial" w:cs="Arial"/>
                <w:sz w:val="18"/>
                <w:szCs w:val="18"/>
              </w:rPr>
            </w:pPr>
            <w:r>
              <w:rPr>
                <w:rFonts w:ascii="Arial" w:hAnsi="Arial" w:cs="Arial"/>
                <w:sz w:val="18"/>
                <w:szCs w:val="18"/>
                <w:lang w:val="en-US"/>
              </w:rPr>
              <w:t xml:space="preserve">Color of insulator’s material</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Ruda/ </w:t>
            </w:r>
            <w:r>
              <w:rPr>
                <w:rFonts w:ascii="Arial" w:hAnsi="Arial" w:cs="Arial"/>
                <w:sz w:val="18"/>
                <w:szCs w:val="18"/>
                <w:lang w:val="en-US"/>
              </w:rPr>
              <w:t xml:space="preserve">Brown </w:t>
            </w:r>
            <w:r>
              <w:rPr>
                <w:rFonts w:ascii="Arial" w:hAnsi="Arial" w:cs="Arial"/>
                <w:bCs/>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4"/>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bCs/>
                <w:sz w:val="18"/>
                <w:szCs w:val="18"/>
              </w:rPr>
              <w:t xml:space="preserve">Srovės nuotėkio kelio ilgis vidutiniam (C lygio) užterštumui pagal IEC/TS 60815-1</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Creepage distance for medium pollution (C level) according to IEC/TS 60815-1, mm </w:t>
            </w:r>
            <w:r>
              <w:rPr>
                <w:rFonts w:ascii="Arial" w:hAnsi="Arial" w:cs="Arial"/>
                <w:sz w:val="18"/>
                <w:szCs w:val="18"/>
                <w:vertAlign w:val="superscript"/>
                <w:lang w:val="en-US"/>
              </w:rPr>
              <w:t xml:space="preserve">2)</w:t>
            </w:r>
          </w:p>
        </w:tc>
        <w:tc>
          <w:tcPr>
            <w:tcW w:type="dxa" w:w="3687"/>
            <w:tcBorders/>
            <w:vAlign w:val="center"/>
          </w:tcPr>
          <w:p>
            <w:pPr>
              <w:spacing/>
              <w:jc w:val="center"/>
              <w:rPr>
                <w:rFonts w:ascii="Arial" w:hAnsi="Arial" w:cs="Arial"/>
                <w:sz w:val="18"/>
                <w:szCs w:val="18"/>
              </w:rPr>
            </w:pPr>
            <w:r>
              <w:rPr>
                <w:rFonts w:ascii="Arial" w:hAnsi="Arial" w:cs="Arial"/>
                <w:bCs/>
                <w:sz w:val="18"/>
                <w:szCs w:val="18"/>
              </w:rPr>
              <w:t xml:space="preserve">≥ 7252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6.</w:t>
            </w:r>
          </w:p>
        </w:tc>
        <w:tc>
          <w:tcPr>
            <w:tcW w:type="dxa" w:w="14458"/>
            <w:gridSpan w:val="6"/>
            <w:tcBorders/>
          </w:tcPr>
          <w:p>
            <w:pPr>
              <w:spacing/>
              <w:jc w:val="center"/>
              <w:rPr>
                <w:rFonts w:ascii="Arial" w:hAnsi="Arial" w:cs="Arial"/>
                <w:b/>
                <w:bCs/>
                <w:sz w:val="18"/>
                <w:szCs w:val="18"/>
              </w:rPr>
            </w:pPr>
            <w:r>
              <w:rPr>
                <w:rFonts w:ascii="Arial" w:hAnsi="Arial" w:cs="Arial"/>
                <w:b/>
                <w:bCs/>
                <w:sz w:val="18"/>
                <w:szCs w:val="18"/>
              </w:rPr>
              <w:t xml:space="preserve">Izoliatoriai</w:t>
            </w:r>
            <w:r>
              <w:rPr>
                <w:rFonts w:ascii="Arial" w:hAnsi="Arial" w:cs="Arial"/>
                <w:b/>
                <w:bCs/>
                <w:sz w:val="18"/>
                <w:szCs w:val="18"/>
              </w:rPr>
              <w:t xml:space="preserve"> (taikoma tik įtampos ir kombinuotiems matavimo transformatoriams, kurie neturi apsaugos nuo vidinio išlydžio klasės pagal</w:t>
            </w:r>
            <w:r>
              <w:rPr>
                <w:rFonts w:ascii="Arial" w:hAnsi="Arial" w:cs="Arial"/>
                <w:b/>
                <w:bCs/>
                <w:sz w:val="18"/>
                <w:szCs w:val="18"/>
              </w:rPr>
              <w:t xml:space="preserve"> IEC 61869-1</w:t>
            </w:r>
            <w:r>
              <w:rPr>
                <w:rFonts w:ascii="Arial" w:hAnsi="Arial" w:cs="Arial"/>
                <w:b/>
                <w:bCs/>
                <w:sz w:val="18"/>
                <w:szCs w:val="18"/>
              </w:rPr>
              <w:t xml:space="preserve">)</w:t>
            </w:r>
            <w:r>
              <w:rPr>
                <w:rFonts w:ascii="Arial" w:hAnsi="Arial" w:cs="Arial"/>
                <w:b/>
                <w:bCs/>
                <w:sz w:val="18"/>
                <w:szCs w:val="18"/>
              </w:rPr>
              <w:t xml:space="preserve">:/</w:t>
            </w:r>
          </w:p>
          <w:p>
            <w:pPr>
              <w:spacing/>
              <w:jc w:val="center"/>
              <w:rPr>
                <w:rFonts w:ascii="Arial" w:hAnsi="Arial" w:cs="Arial"/>
                <w:sz w:val="18"/>
                <w:szCs w:val="18"/>
              </w:rPr>
            </w:pPr>
            <w:r>
              <w:rPr>
                <w:rFonts w:ascii="Arial" w:hAnsi="Arial" w:cs="Arial"/>
                <w:b/>
                <w:bCs/>
                <w:sz w:val="18"/>
                <w:szCs w:val="18"/>
                <w:lang w:val="en-US"/>
              </w:rPr>
              <w:t xml:space="preserve">Insulators</w:t>
            </w:r>
            <w:r>
              <w:rPr>
                <w:rFonts w:ascii="Arial" w:hAnsi="Arial" w:cs="Arial"/>
                <w:b/>
                <w:bCs/>
                <w:sz w:val="18"/>
                <w:szCs w:val="18"/>
                <w:lang w:val="en-US"/>
              </w:rPr>
              <w:t xml:space="preserve"> (applicable only for voltage and combined transformers which do not have internal arc fault protection class according to </w:t>
            </w:r>
            <w:r>
              <w:rPr>
                <w:rFonts w:ascii="Arial" w:hAnsi="Arial" w:cs="Arial"/>
                <w:b/>
                <w:bCs/>
                <w:sz w:val="18"/>
                <w:szCs w:val="18"/>
              </w:rPr>
              <w:t xml:space="preserve">IEC 61869-1</w:t>
            </w:r>
            <w:r>
              <w:rPr>
                <w:rFonts w:ascii="Arial" w:hAnsi="Arial" w:cs="Arial"/>
                <w:b/>
                <w:bCs/>
                <w:sz w:val="18"/>
                <w:szCs w:val="18"/>
                <w:lang w:val="en-US"/>
              </w:rPr>
              <w:t xml:space="preserve">)</w:t>
            </w:r>
            <w:r>
              <w:rPr>
                <w:rFonts w:ascii="Arial" w:hAnsi="Arial" w:cs="Arial"/>
                <w:b/>
                <w:bCs/>
                <w:sz w:val="18"/>
                <w:szCs w:val="18"/>
                <w:lang w:val="en-US"/>
              </w:rPr>
              <w:t xml:space="preserve">:</w:t>
            </w: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Izoliatorių konstrukcija/</w:t>
            </w:r>
          </w:p>
          <w:p>
            <w:pPr>
              <w:spacing/>
              <w:rPr>
                <w:rFonts w:ascii="Arial" w:hAnsi="Arial" w:cs="Arial"/>
                <w:bCs/>
                <w:sz w:val="18"/>
                <w:szCs w:val="18"/>
              </w:rPr>
            </w:pPr>
            <w:r>
              <w:rPr>
                <w:rFonts w:ascii="Arial" w:hAnsi="Arial" w:cs="Arial"/>
                <w:sz w:val="18"/>
                <w:szCs w:val="18"/>
                <w:lang w:val="en-US"/>
              </w:rPr>
              <w:t xml:space="preserve">Structure of insulators</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Tuščiaviduriai </w:t>
            </w:r>
            <w:r>
              <w:rPr>
                <w:rFonts w:ascii="Arial" w:hAnsi="Arial" w:cs="Arial"/>
                <w:sz w:val="18"/>
                <w:szCs w:val="18"/>
              </w:rPr>
              <w:t xml:space="preserve">kompozitiniai</w:t>
            </w:r>
            <w:r>
              <w:rPr>
                <w:rFonts w:ascii="Arial" w:hAnsi="Arial" w:cs="Arial"/>
                <w:sz w:val="18"/>
                <w:szCs w:val="18"/>
              </w:rPr>
              <w:t xml:space="preserve"> izoliatoriai</w:t>
            </w:r>
          </w:p>
          <w:p>
            <w:pPr>
              <w:spacing/>
              <w:jc w:val="center"/>
              <w:rPr>
                <w:rFonts w:ascii="Arial" w:hAnsi="Arial" w:cs="Arial"/>
                <w:sz w:val="18"/>
                <w:szCs w:val="18"/>
              </w:rPr>
            </w:pPr>
            <w:r>
              <w:rPr>
                <w:rFonts w:ascii="Arial" w:hAnsi="Arial" w:cs="Arial"/>
                <w:i/>
                <w:iCs/>
                <w:sz w:val="18"/>
                <w:szCs w:val="18"/>
              </w:rPr>
              <w:t xml:space="preserve">arba</w:t>
            </w:r>
            <w:r>
              <w:rPr>
                <w:rFonts w:ascii="Arial" w:hAnsi="Arial" w:cs="Arial"/>
                <w:i/>
                <w:iCs/>
                <w:sz w:val="18"/>
                <w:szCs w:val="18"/>
              </w:rPr>
              <w:t xml:space="preserve"> </w:t>
            </w:r>
            <w:r>
              <w:rPr>
                <w:rFonts w:ascii="Arial" w:hAnsi="Arial" w:cs="Arial"/>
                <w:sz w:val="18"/>
                <w:szCs w:val="18"/>
              </w:rPr>
              <w:t xml:space="preserve">Netaikoma</w:t>
            </w:r>
            <w:r>
              <w:rPr>
                <w:rFonts w:ascii="Arial" w:hAnsi="Arial" w:cs="Arial"/>
                <w:sz w:val="18"/>
                <w:szCs w:val="18"/>
              </w:rPr>
              <w:t xml:space="preserve">/</w:t>
            </w:r>
          </w:p>
          <w:p>
            <w:pPr>
              <w:spacing/>
              <w:jc w:val="center"/>
              <w:rPr>
                <w:rFonts w:ascii="Arial" w:hAnsi="Arial" w:cs="Arial"/>
                <w:sz w:val="18"/>
                <w:szCs w:val="18"/>
                <w:lang w:val="en-US"/>
              </w:rPr>
            </w:pPr>
            <w:r>
              <w:rPr>
                <w:rFonts w:ascii="Arial" w:hAnsi="Arial" w:cs="Arial"/>
                <w:sz w:val="18"/>
                <w:szCs w:val="18"/>
                <w:lang w:val="en-US"/>
              </w:rPr>
              <w:t xml:space="preserve">Hollow c</w:t>
            </w:r>
            <w:r>
              <w:rPr>
                <w:rFonts w:ascii="Arial" w:hAnsi="Arial" w:cs="Arial"/>
                <w:sz w:val="18"/>
                <w:szCs w:val="18"/>
                <w:lang w:val="en-US"/>
              </w:rPr>
              <w:t xml:space="preserve">omposite</w:t>
            </w:r>
            <w:r>
              <w:rPr>
                <w:rFonts w:ascii="Arial" w:hAnsi="Arial" w:cs="Arial"/>
                <w:sz w:val="18"/>
                <w:szCs w:val="18"/>
                <w:lang w:val="en-US"/>
              </w:rPr>
              <w:t xml:space="preserve"> insulators</w:t>
            </w:r>
            <w:r>
              <w:rPr>
                <w:rFonts w:ascii="Arial" w:hAnsi="Arial" w:cs="Arial"/>
                <w:sz w:val="18"/>
                <w:szCs w:val="18"/>
                <w:lang w:val="en-US"/>
              </w:rPr>
              <w:t xml:space="preserve"> </w:t>
            </w:r>
            <w:r>
              <w:rPr>
                <w:rFonts w:ascii="Arial" w:hAnsi="Arial" w:cs="Arial"/>
                <w:i/>
                <w:iCs/>
                <w:sz w:val="18"/>
                <w:szCs w:val="18"/>
                <w:lang w:val="en-US"/>
              </w:rPr>
              <w:t xml:space="preserve">or</w:t>
            </w:r>
          </w:p>
          <w:p>
            <w:pPr>
              <w:spacing/>
              <w:jc w:val="center"/>
              <w:rPr>
                <w:rFonts w:ascii="Arial" w:hAnsi="Arial" w:cs="Arial"/>
                <w:bCs/>
                <w:sz w:val="18"/>
                <w:szCs w:val="18"/>
              </w:rPr>
            </w:pPr>
            <w:r>
              <w:rPr>
                <w:rFonts w:ascii="Arial" w:hAnsi="Arial" w:cs="Arial"/>
                <w:sz w:val="18"/>
                <w:szCs w:val="18"/>
                <w:lang w:val="en-US"/>
              </w:rPr>
              <w:t xml:space="preserve">Not applicable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medžiaga/</w:t>
            </w:r>
          </w:p>
          <w:p>
            <w:pPr>
              <w:spacing/>
              <w:rPr>
                <w:rFonts w:ascii="Arial" w:hAnsi="Arial" w:cs="Arial"/>
                <w:bCs/>
                <w:sz w:val="18"/>
                <w:szCs w:val="18"/>
              </w:rPr>
            </w:pPr>
            <w:r>
              <w:rPr>
                <w:rFonts w:ascii="Arial" w:hAnsi="Arial" w:cs="Arial"/>
                <w:sz w:val="18"/>
                <w:szCs w:val="18"/>
                <w:lang w:val="en-US"/>
              </w:rPr>
              <w:t xml:space="preserve">Material of insulator</w:t>
            </w:r>
          </w:p>
        </w:tc>
        <w:tc>
          <w:tcPr>
            <w:tcW w:type="dxa" w:w="3687"/>
            <w:tcBorders/>
            <w:vAlign w:val="center"/>
          </w:tcPr>
          <w:p>
            <w:pPr>
              <w:spacing/>
              <w:jc w:val="center"/>
              <w:rPr>
                <w:rFonts w:ascii="Arial" w:hAnsi="Arial" w:cs="Arial"/>
                <w:i/>
                <w:iCs/>
                <w:sz w:val="18"/>
                <w:szCs w:val="18"/>
              </w:rPr>
            </w:pPr>
            <w:r>
              <w:rPr>
                <w:rFonts w:ascii="Arial" w:hAnsi="Arial" w:cs="Arial"/>
                <w:sz w:val="18"/>
                <w:szCs w:val="18"/>
              </w:rPr>
              <w:t xml:space="preserve">Po</w:t>
            </w:r>
            <w:r>
              <w:rPr>
                <w:rFonts w:ascii="Arial" w:hAnsi="Arial" w:cs="Arial"/>
                <w:sz w:val="18"/>
                <w:szCs w:val="18"/>
              </w:rPr>
              <w:t xml:space="preserve">limeras</w:t>
            </w:r>
          </w:p>
          <w:p>
            <w:pPr>
              <w:spacing/>
              <w:jc w:val="center"/>
              <w:rPr>
                <w:rFonts w:ascii="Arial" w:hAnsi="Arial" w:cs="Arial"/>
                <w:sz w:val="18"/>
                <w:szCs w:val="18"/>
              </w:rPr>
            </w:pPr>
            <w:r>
              <w:rPr>
                <w:rFonts w:ascii="Arial" w:hAnsi="Arial" w:cs="Arial"/>
                <w:i/>
                <w:iCs/>
                <w:sz w:val="18"/>
                <w:szCs w:val="18"/>
              </w:rPr>
              <w:t xml:space="preserve">arba</w:t>
            </w:r>
            <w:r>
              <w:rPr>
                <w:rFonts w:ascii="Arial" w:hAnsi="Arial" w:cs="Arial"/>
                <w:i/>
                <w:iCs/>
                <w:sz w:val="18"/>
                <w:szCs w:val="18"/>
              </w:rPr>
              <w:t xml:space="preserve"> </w:t>
            </w:r>
            <w:r>
              <w:rPr>
                <w:rFonts w:ascii="Arial" w:hAnsi="Arial" w:cs="Arial"/>
                <w:sz w:val="18"/>
                <w:szCs w:val="18"/>
              </w:rPr>
              <w:t xml:space="preserve">Netaikoma</w:t>
            </w:r>
            <w:r>
              <w:rPr>
                <w:rFonts w:ascii="Arial" w:hAnsi="Arial" w:cs="Arial"/>
                <w:sz w:val="18"/>
                <w:szCs w:val="18"/>
              </w:rPr>
              <w:t xml:space="preserve">/</w:t>
            </w:r>
          </w:p>
          <w:p>
            <w:pPr>
              <w:spacing/>
              <w:jc w:val="center"/>
              <w:rPr>
                <w:rFonts w:ascii="Arial" w:hAnsi="Arial" w:cs="Arial"/>
                <w:sz w:val="18"/>
                <w:szCs w:val="18"/>
                <w:lang w:val="en-US"/>
              </w:rPr>
            </w:pPr>
            <w:r>
              <w:rPr>
                <w:rFonts w:ascii="Arial" w:hAnsi="Arial" w:cs="Arial"/>
                <w:sz w:val="18"/>
                <w:szCs w:val="18"/>
                <w:lang w:val="en-US"/>
              </w:rPr>
              <w:t xml:space="preserve">Po</w:t>
            </w:r>
            <w:r>
              <w:rPr>
                <w:rFonts w:ascii="Arial" w:hAnsi="Arial" w:cs="Arial"/>
                <w:sz w:val="18"/>
                <w:szCs w:val="18"/>
                <w:lang w:val="en-US"/>
              </w:rPr>
              <w:t xml:space="preserve">lymer</w:t>
            </w:r>
            <w:r>
              <w:rPr>
                <w:rFonts w:ascii="Arial" w:hAnsi="Arial" w:cs="Arial"/>
                <w:sz w:val="18"/>
                <w:szCs w:val="18"/>
                <w:lang w:val="en-US"/>
              </w:rPr>
              <w:t xml:space="preserve"> </w:t>
            </w:r>
            <w:r>
              <w:rPr>
                <w:rFonts w:ascii="Arial" w:hAnsi="Arial" w:cs="Arial"/>
                <w:i/>
                <w:iCs/>
                <w:sz w:val="18"/>
                <w:szCs w:val="18"/>
                <w:lang w:val="en-US"/>
              </w:rPr>
              <w:t xml:space="preserve">or</w:t>
            </w:r>
          </w:p>
          <w:p>
            <w:pPr>
              <w:spacing/>
              <w:jc w:val="center"/>
              <w:rPr>
                <w:rFonts w:ascii="Arial" w:hAnsi="Arial" w:cs="Arial"/>
                <w:bCs/>
                <w:sz w:val="18"/>
                <w:szCs w:val="18"/>
              </w:rPr>
            </w:pPr>
            <w:r>
              <w:rPr>
                <w:rFonts w:ascii="Arial" w:hAnsi="Arial" w:cs="Arial"/>
                <w:sz w:val="18"/>
                <w:szCs w:val="18"/>
                <w:lang w:val="en-US"/>
              </w:rPr>
              <w:t xml:space="preserve">Not applicable</w:t>
            </w:r>
            <w:r>
              <w:rPr>
                <w:rFonts w:ascii="Arial" w:hAnsi="Arial" w:cs="Arial"/>
                <w:sz w:val="18"/>
                <w:szCs w:val="18"/>
                <w:lang w:val="en-US"/>
              </w:rPr>
              <w:t xml:space="preserv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Polimero tipas</w:t>
            </w:r>
            <w:r>
              <w:rPr>
                <w:rFonts w:ascii="Arial" w:hAnsi="Arial" w:cs="Arial"/>
                <w:sz w:val="18"/>
                <w:szCs w:val="18"/>
              </w:rPr>
              <w:t xml:space="preserve">/</w:t>
            </w:r>
          </w:p>
          <w:p>
            <w:pPr>
              <w:spacing/>
              <w:rPr>
                <w:rFonts w:ascii="Arial" w:hAnsi="Arial" w:cs="Arial"/>
                <w:bCs/>
                <w:sz w:val="18"/>
                <w:szCs w:val="18"/>
              </w:rPr>
            </w:pPr>
            <w:r>
              <w:rPr>
                <w:rFonts w:ascii="Arial" w:hAnsi="Arial" w:cs="Arial"/>
                <w:sz w:val="18"/>
                <w:szCs w:val="18"/>
                <w:lang w:val="en-US"/>
              </w:rPr>
              <w:t xml:space="preserve">Type of polymer</w:t>
            </w:r>
          </w:p>
        </w:tc>
        <w:tc>
          <w:tcPr>
            <w:tcW w:type="dxa" w:w="3687"/>
            <w:tcBorders/>
            <w:vAlign w:val="center"/>
          </w:tcPr>
          <w:p>
            <w:pPr>
              <w:spacing/>
              <w:jc w:val="center"/>
              <w:rPr>
                <w:rFonts w:ascii="Arial" w:hAnsi="Arial" w:cs="Arial"/>
                <w:i/>
                <w:iCs/>
                <w:sz w:val="18"/>
                <w:szCs w:val="18"/>
              </w:rPr>
            </w:pPr>
            <w:r>
              <w:rPr>
                <w:rFonts w:ascii="Arial" w:hAnsi="Arial" w:cs="Arial"/>
                <w:sz w:val="18"/>
                <w:szCs w:val="18"/>
              </w:rPr>
              <w:t xml:space="preserve">Silikono guma</w:t>
            </w:r>
          </w:p>
          <w:p>
            <w:pPr>
              <w:spacing/>
              <w:jc w:val="center"/>
              <w:rPr>
                <w:rFonts w:ascii="Arial" w:hAnsi="Arial" w:cs="Arial"/>
                <w:sz w:val="18"/>
                <w:szCs w:val="18"/>
              </w:rPr>
            </w:pPr>
            <w:r>
              <w:rPr>
                <w:rFonts w:ascii="Arial" w:hAnsi="Arial" w:cs="Arial"/>
                <w:i/>
                <w:iCs/>
                <w:sz w:val="18"/>
                <w:szCs w:val="18"/>
              </w:rPr>
              <w:t xml:space="preserve">arba</w:t>
            </w:r>
            <w:r>
              <w:rPr>
                <w:rFonts w:ascii="Arial" w:hAnsi="Arial" w:cs="Arial"/>
                <w:i/>
                <w:iCs/>
                <w:sz w:val="18"/>
                <w:szCs w:val="18"/>
              </w:rPr>
              <w:t xml:space="preserve"> </w:t>
            </w:r>
            <w:r>
              <w:rPr>
                <w:rFonts w:ascii="Arial" w:hAnsi="Arial" w:cs="Arial"/>
                <w:sz w:val="18"/>
                <w:szCs w:val="18"/>
              </w:rPr>
              <w:t xml:space="preserve">Netaikoma/</w:t>
            </w:r>
          </w:p>
          <w:p>
            <w:pPr>
              <w:spacing/>
              <w:jc w:val="center"/>
              <w:rPr>
                <w:rFonts w:ascii="Arial" w:hAnsi="Arial" w:cs="Arial"/>
                <w:i/>
                <w:iCs/>
                <w:sz w:val="18"/>
                <w:szCs w:val="18"/>
                <w:lang w:val="en-US"/>
              </w:rPr>
            </w:pPr>
            <w:r>
              <w:rPr>
                <w:rFonts w:ascii="Arial" w:hAnsi="Arial" w:cs="Arial"/>
                <w:sz w:val="18"/>
                <w:szCs w:val="18"/>
                <w:lang w:val="en-US"/>
              </w:rPr>
              <w:t xml:space="preserve">Silicone rubber</w:t>
            </w:r>
            <w:r>
              <w:rPr>
                <w:rFonts w:ascii="Arial" w:hAnsi="Arial" w:cs="Arial"/>
                <w:sz w:val="18"/>
                <w:szCs w:val="18"/>
                <w:lang w:val="en-US"/>
              </w:rPr>
              <w:t xml:space="preserve"> </w:t>
            </w:r>
            <w:r>
              <w:rPr>
                <w:rFonts w:ascii="Arial" w:hAnsi="Arial" w:cs="Arial"/>
                <w:i/>
                <w:iCs/>
                <w:sz w:val="18"/>
                <w:szCs w:val="18"/>
                <w:lang w:val="en-US"/>
              </w:rPr>
              <w:t xml:space="preserve">or</w:t>
            </w:r>
          </w:p>
          <w:p>
            <w:pPr>
              <w:spacing/>
              <w:jc w:val="center"/>
              <w:rPr>
                <w:rFonts w:ascii="Arial" w:hAnsi="Arial" w:cs="Arial"/>
                <w:sz w:val="18"/>
                <w:szCs w:val="18"/>
                <w:lang w:val="en-US"/>
              </w:rPr>
            </w:pPr>
            <w:r>
              <w:rPr>
                <w:rFonts w:ascii="Arial" w:hAnsi="Arial" w:cs="Arial"/>
                <w:sz w:val="18"/>
                <w:szCs w:val="18"/>
                <w:lang w:val="en-US"/>
              </w:rPr>
              <w:t xml:space="preserve">Not applicable</w:t>
            </w:r>
            <w:r>
              <w:rPr>
                <w:rFonts w:ascii="Arial" w:hAnsi="Arial" w:cs="Arial"/>
                <w:sz w:val="18"/>
                <w:szCs w:val="18"/>
                <w:lang w:val="en-US"/>
              </w:rPr>
              <w:t xml:space="preserv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Izoliatoriaus spalva/</w:t>
            </w:r>
          </w:p>
          <w:p>
            <w:pPr>
              <w:spacing/>
              <w:rPr>
                <w:rFonts w:ascii="Arial" w:hAnsi="Arial" w:cs="Arial"/>
                <w:bCs/>
                <w:sz w:val="18"/>
                <w:szCs w:val="18"/>
              </w:rPr>
            </w:pPr>
            <w:r>
              <w:rPr>
                <w:rFonts w:ascii="Arial" w:hAnsi="Arial" w:cs="Arial"/>
                <w:sz w:val="18"/>
                <w:szCs w:val="18"/>
                <w:lang w:val="en-US"/>
              </w:rPr>
              <w:t xml:space="preserve">Color of insulator’s material</w:t>
            </w:r>
          </w:p>
        </w:tc>
        <w:tc>
          <w:tcPr>
            <w:tcW w:type="dxa" w:w="3687"/>
            <w:tcBorders/>
            <w:vAlign w:val="center"/>
          </w:tcPr>
          <w:p>
            <w:pPr>
              <w:spacing/>
              <w:jc w:val="center"/>
              <w:rPr>
                <w:rFonts w:ascii="Arial" w:hAnsi="Arial" w:cs="Arial"/>
                <w:i/>
                <w:iCs/>
                <w:sz w:val="18"/>
                <w:szCs w:val="18"/>
              </w:rPr>
            </w:pPr>
            <w:r>
              <w:rPr>
                <w:rFonts w:ascii="Arial" w:hAnsi="Arial" w:cs="Arial"/>
                <w:bCs/>
                <w:sz w:val="18"/>
                <w:szCs w:val="18"/>
              </w:rPr>
              <w:t xml:space="preserve">Pilka</w:t>
            </w:r>
          </w:p>
          <w:p>
            <w:pPr>
              <w:spacing/>
              <w:jc w:val="center"/>
              <w:rPr>
                <w:rFonts w:ascii="Arial" w:hAnsi="Arial" w:cs="Arial"/>
                <w:sz w:val="18"/>
                <w:szCs w:val="18"/>
              </w:rPr>
            </w:pPr>
            <w:r>
              <w:rPr>
                <w:rFonts w:ascii="Arial" w:hAnsi="Arial" w:cs="Arial"/>
                <w:i/>
                <w:iCs/>
                <w:sz w:val="18"/>
                <w:szCs w:val="18"/>
              </w:rPr>
              <w:t xml:space="preserve">arba</w:t>
            </w:r>
            <w:r>
              <w:rPr>
                <w:rFonts w:ascii="Arial" w:hAnsi="Arial" w:cs="Arial"/>
                <w:i/>
                <w:iCs/>
                <w:sz w:val="18"/>
                <w:szCs w:val="18"/>
              </w:rPr>
              <w:t xml:space="preserve"> </w:t>
            </w:r>
            <w:r>
              <w:rPr>
                <w:rFonts w:ascii="Arial" w:hAnsi="Arial" w:cs="Arial"/>
                <w:sz w:val="18"/>
                <w:szCs w:val="18"/>
              </w:rPr>
              <w:t xml:space="preserve">Netaikoma</w:t>
            </w:r>
            <w:r>
              <w:rPr>
                <w:rFonts w:ascii="Arial" w:hAnsi="Arial" w:cs="Arial"/>
                <w:bCs/>
                <w:sz w:val="18"/>
                <w:szCs w:val="18"/>
                <w:lang w:val="en-US"/>
              </w:rPr>
              <w:t xml:space="preserve">/</w:t>
            </w:r>
          </w:p>
          <w:p>
            <w:pPr>
              <w:spacing/>
              <w:jc w:val="center"/>
              <w:rPr>
                <w:rFonts w:ascii="Arial" w:hAnsi="Arial" w:cs="Arial"/>
                <w:i/>
                <w:iCs/>
                <w:sz w:val="18"/>
                <w:szCs w:val="18"/>
                <w:lang w:val="en-US"/>
              </w:rPr>
            </w:pPr>
            <w:r>
              <w:rPr>
                <w:rFonts w:ascii="Arial" w:hAnsi="Arial" w:cs="Arial"/>
                <w:bCs/>
                <w:sz w:val="18"/>
                <w:szCs w:val="18"/>
                <w:lang w:val="en-US"/>
              </w:rPr>
              <w:t xml:space="preserve">Grey</w:t>
            </w:r>
          </w:p>
          <w:p>
            <w:pPr>
              <w:spacing/>
              <w:jc w:val="center"/>
              <w:rPr>
                <w:rFonts w:ascii="Arial" w:hAnsi="Arial" w:cs="Arial"/>
                <w:sz w:val="18"/>
                <w:szCs w:val="18"/>
                <w:lang w:val="en-US"/>
              </w:rPr>
            </w:pPr>
            <w:r>
              <w:rPr>
                <w:rFonts w:ascii="Arial" w:hAnsi="Arial" w:cs="Arial"/>
                <w:i/>
                <w:iCs/>
                <w:sz w:val="18"/>
                <w:szCs w:val="18"/>
                <w:lang w:val="en-US"/>
              </w:rPr>
              <w:t xml:space="preserve">or</w:t>
            </w:r>
            <w:r>
              <w:rPr>
                <w:rFonts w:ascii="Arial" w:hAnsi="Arial" w:cs="Arial"/>
                <w:i/>
                <w:iCs/>
                <w:sz w:val="18"/>
                <w:szCs w:val="18"/>
                <w:lang w:val="en-US"/>
              </w:rPr>
              <w:t xml:space="preserve"> </w:t>
            </w:r>
            <w:r>
              <w:rPr>
                <w:rFonts w:ascii="Arial" w:hAnsi="Arial" w:cs="Arial"/>
                <w:sz w:val="18"/>
                <w:szCs w:val="18"/>
                <w:lang w:val="en-US"/>
              </w:rPr>
              <w:t xml:space="preserve">Not</w:t>
            </w:r>
            <w:r>
              <w:rPr>
                <w:rFonts w:ascii="Arial" w:hAnsi="Arial" w:cs="Arial"/>
                <w:sz w:val="18"/>
                <w:szCs w:val="18"/>
                <w:lang w:val="en-US"/>
              </w:rPr>
              <w:t xml:space="preserve">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8"/>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bCs/>
                <w:sz w:val="18"/>
                <w:szCs w:val="18"/>
              </w:rPr>
              <w:t xml:space="preserve">Srovės nuotėkio kelio ilgis vidutiniam (C lygio) užterštumui pagal IEC/TS 60815-1</w:t>
            </w:r>
            <w:r>
              <w:rPr>
                <w:rFonts w:ascii="Arial" w:hAnsi="Arial" w:cs="Arial"/>
                <w:sz w:val="18"/>
                <w:szCs w:val="18"/>
              </w:rPr>
              <w:t xml:space="preserve">/</w:t>
            </w:r>
          </w:p>
          <w:p>
            <w:pPr>
              <w:spacing/>
              <w:rPr>
                <w:rFonts w:ascii="Arial" w:hAnsi="Arial" w:cs="Arial"/>
                <w:bCs/>
                <w:sz w:val="18"/>
                <w:szCs w:val="18"/>
              </w:rPr>
            </w:pPr>
            <w:r>
              <w:rPr>
                <w:rFonts w:ascii="Arial" w:hAnsi="Arial" w:cs="Arial"/>
                <w:sz w:val="18"/>
                <w:szCs w:val="18"/>
                <w:lang w:val="en-US"/>
              </w:rPr>
              <w:t xml:space="preserve">Creepage distance for medium pollution (C level) according to IEC/TS 60815-1, mm </w:t>
            </w:r>
            <w:r>
              <w:rPr>
                <w:rFonts w:ascii="Arial" w:hAnsi="Arial" w:cs="Arial"/>
                <w:sz w:val="18"/>
                <w:szCs w:val="18"/>
                <w:vertAlign w:val="superscript"/>
                <w:lang w:val="en-US"/>
              </w:rPr>
              <w:t xml:space="preserve">2)</w:t>
            </w:r>
          </w:p>
        </w:tc>
        <w:tc>
          <w:tcPr>
            <w:tcW w:type="dxa" w:w="3687"/>
            <w:tcBorders/>
            <w:vAlign w:val="center"/>
          </w:tcPr>
          <w:p>
            <w:pPr>
              <w:spacing/>
              <w:jc w:val="center"/>
              <w:rPr>
                <w:rFonts w:ascii="Arial" w:hAnsi="Arial" w:cs="Arial"/>
                <w:i/>
                <w:iCs/>
                <w:sz w:val="18"/>
                <w:szCs w:val="18"/>
              </w:rPr>
            </w:pPr>
            <w:r>
              <w:rPr>
                <w:rFonts w:ascii="Arial" w:hAnsi="Arial" w:cs="Arial"/>
                <w:bCs/>
                <w:sz w:val="18"/>
                <w:szCs w:val="18"/>
              </w:rPr>
              <w:t xml:space="preserve">≥ 7252</w:t>
            </w:r>
          </w:p>
          <w:p>
            <w:pPr>
              <w:spacing/>
              <w:jc w:val="center"/>
              <w:rPr>
                <w:rFonts w:ascii="Arial" w:hAnsi="Arial" w:cs="Arial"/>
                <w:bCs/>
                <w:sz w:val="18"/>
                <w:szCs w:val="18"/>
              </w:rPr>
            </w:pPr>
            <w:r>
              <w:rPr>
                <w:rFonts w:ascii="Arial" w:hAnsi="Arial" w:cs="Arial"/>
                <w:i/>
                <w:iCs/>
                <w:sz w:val="18"/>
                <w:szCs w:val="18"/>
              </w:rPr>
              <w:t xml:space="preserve">arba</w:t>
            </w:r>
            <w:r>
              <w:rPr>
                <w:rFonts w:ascii="Arial" w:hAnsi="Arial" w:cs="Arial"/>
                <w:sz w:val="18"/>
                <w:szCs w:val="18"/>
              </w:rPr>
              <w:t xml:space="preserve"> Netaikoma</w:t>
            </w:r>
            <w:r>
              <w:rPr>
                <w:rFonts w:ascii="Arial" w:hAnsi="Arial" w:cs="Arial"/>
                <w:sz w:val="18"/>
                <w:szCs w:val="18"/>
                <w:lang w:val="en-US"/>
              </w:rPr>
              <w:t xml:space="preserve">/ </w:t>
            </w:r>
            <w:r>
              <w:rPr>
                <w:rFonts w:ascii="Arial" w:hAnsi="Arial" w:cs="Arial"/>
                <w:i/>
                <w:iCs/>
                <w:sz w:val="18"/>
                <w:szCs w:val="18"/>
                <w:lang w:val="en-US"/>
              </w:rPr>
              <w:t xml:space="preserve">or</w:t>
            </w:r>
            <w:r>
              <w:rPr>
                <w:rFonts w:ascii="Arial" w:hAnsi="Arial" w:cs="Arial"/>
                <w:sz w:val="18"/>
                <w:szCs w:val="18"/>
                <w:lang w:val="en-US"/>
              </w:rPr>
              <w:t xml:space="preserve"> Not applicable</w:t>
            </w:r>
            <w:r>
              <w:rPr>
                <w:rFonts w:ascii="Arial" w:hAnsi="Arial" w:cs="Arial"/>
                <w:bCs/>
                <w:sz w:val="18"/>
                <w:szCs w:val="18"/>
              </w:rPr>
              <w:t xml:space="preserve"> </w:t>
            </w:r>
            <w:r>
              <w:rPr>
                <w:rFonts w:ascii="Arial" w:hAnsi="Arial" w:cs="Arial"/>
                <w:bCs/>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7</w:t>
            </w:r>
            <w:r>
              <w:rPr>
                <w:rFonts w:ascii="Arial" w:hAnsi="Arial" w:cs="Arial"/>
                <w:b/>
                <w:bCs/>
                <w:sz w:val="18"/>
                <w:szCs w:val="18"/>
              </w:rPr>
              <w:t xml:space="preserve">.</w:t>
            </w:r>
          </w:p>
        </w:tc>
        <w:tc>
          <w:tcPr>
            <w:tcW w:type="dxa" w:w="14458"/>
            <w:gridSpan w:val="6"/>
            <w:tcBorders/>
            <w:vAlign w:val="center"/>
          </w:tcPr>
          <w:p>
            <w:pPr>
              <w:spacing/>
              <w:jc w:val="center"/>
              <w:rPr>
                <w:rFonts w:ascii="Arial" w:hAnsi="Arial" w:cs="Arial"/>
                <w:sz w:val="18"/>
                <w:szCs w:val="18"/>
              </w:rPr>
            </w:pPr>
            <w:r>
              <w:rPr>
                <w:rFonts w:ascii="Arial" w:hAnsi="Arial" w:cs="Arial"/>
                <w:b/>
                <w:bCs/>
                <w:sz w:val="18"/>
                <w:szCs w:val="18"/>
              </w:rPr>
              <w:t xml:space="preserve">Antrinių gnybtų dėžutės:/ </w:t>
            </w:r>
            <w:r>
              <w:rPr>
                <w:rFonts w:ascii="Arial" w:hAnsi="Arial" w:cs="Arial"/>
                <w:b/>
                <w:bCs/>
                <w:sz w:val="18"/>
                <w:szCs w:val="18"/>
                <w:lang w:val="en-US"/>
              </w:rPr>
              <w:t xml:space="preserve">Secondary terminals boxes:</w:t>
            </w: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Gnybtų dėžės apsaugos laipsnis ne žemesnis nei/</w:t>
            </w:r>
          </w:p>
          <w:p>
            <w:pPr>
              <w:spacing/>
              <w:rPr>
                <w:rFonts w:ascii="Arial" w:hAnsi="Arial" w:cs="Arial"/>
                <w:sz w:val="18"/>
                <w:szCs w:val="18"/>
              </w:rPr>
            </w:pPr>
            <w:r>
              <w:rPr>
                <w:rFonts w:ascii="Arial" w:hAnsi="Arial" w:cs="Arial"/>
                <w:sz w:val="18"/>
                <w:szCs w:val="18"/>
                <w:lang w:val="en-US"/>
              </w:rPr>
              <w:t xml:space="preserve">Protection level of terminal box not lower than</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IP 54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Apsauga nuo kondensato/</w:t>
            </w:r>
          </w:p>
          <w:p>
            <w:pPr>
              <w:spacing/>
              <w:rPr>
                <w:rFonts w:ascii="Arial" w:hAnsi="Arial" w:cs="Arial"/>
                <w:sz w:val="18"/>
                <w:szCs w:val="18"/>
              </w:rPr>
            </w:pPr>
            <w:r>
              <w:rPr>
                <w:rFonts w:ascii="Arial" w:hAnsi="Arial" w:cs="Arial"/>
                <w:sz w:val="18"/>
                <w:szCs w:val="18"/>
                <w:lang w:val="en-US"/>
              </w:rPr>
              <w:t xml:space="preserve">Protection against moisture</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Vėdinimo angos su apsauga nuo vabzdžių/ </w:t>
            </w:r>
            <w:r>
              <w:rPr>
                <w:rFonts w:ascii="Arial" w:hAnsi="Arial" w:cs="Arial"/>
                <w:sz w:val="18"/>
                <w:szCs w:val="18"/>
                <w:lang w:val="en-US"/>
              </w:rPr>
              <w:t xml:space="preserve">Breather holes with protection against insects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Antrinių grandinių prijungimų gnybtų išpildymas turi atitikti vieną iš išvardintų variantų/</w:t>
            </w:r>
          </w:p>
          <w:p>
            <w:pPr>
              <w:spacing/>
              <w:rPr>
                <w:rFonts w:ascii="Arial" w:hAnsi="Arial" w:cs="Arial"/>
                <w:sz w:val="18"/>
                <w:szCs w:val="18"/>
                <w:highlight w:val="red"/>
              </w:rPr>
            </w:pPr>
            <w:r>
              <w:rPr>
                <w:rFonts w:ascii="Arial" w:hAnsi="Arial" w:cs="Arial"/>
                <w:sz w:val="18"/>
                <w:szCs w:val="18"/>
                <w:lang w:val="en-US"/>
              </w:rPr>
              <w:t xml:space="preserve">Fulfillment of the secondary </w:t>
            </w:r>
            <w:r>
              <w:rPr>
                <w:rFonts w:ascii="Arial" w:hAnsi="Arial" w:cs="Arial"/>
                <w:sz w:val="18"/>
                <w:szCs w:val="18"/>
                <w:lang w:val="en-US"/>
              </w:rPr>
              <w:t xml:space="preserve">connections</w:t>
            </w:r>
            <w:r>
              <w:rPr>
                <w:rFonts w:ascii="Arial" w:hAnsi="Arial" w:cs="Arial"/>
                <w:sz w:val="18"/>
                <w:szCs w:val="18"/>
                <w:lang w:val="en-US"/>
              </w:rPr>
              <w:t xml:space="preserve"> terminals shall correspond to one of the options listed</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1. Nerūdijančio plieno M8 arba M10 varžto tipo jungtys.</w:t>
            </w:r>
          </w:p>
          <w:p>
            <w:pPr>
              <w:spacing/>
              <w:jc w:val="center"/>
              <w:rPr>
                <w:rFonts w:ascii="Arial" w:hAnsi="Arial" w:cs="Arial"/>
                <w:sz w:val="18"/>
                <w:szCs w:val="18"/>
              </w:rPr>
            </w:pPr>
            <w:r>
              <w:rPr>
                <w:rFonts w:ascii="Arial" w:hAnsi="Arial" w:cs="Arial"/>
                <w:sz w:val="18"/>
                <w:szCs w:val="18"/>
              </w:rPr>
              <w:t xml:space="preserve">2. Užveržiamų (varžtinių) Phoenix arba analogiško tipo gnybtų rinklės/</w:t>
            </w:r>
          </w:p>
          <w:p>
            <w:pPr>
              <w:spacing/>
              <w:jc w:val="center"/>
              <w:rPr>
                <w:rFonts w:ascii="Arial" w:hAnsi="Arial" w:cs="Arial"/>
                <w:sz w:val="18"/>
                <w:szCs w:val="18"/>
              </w:rPr>
            </w:pPr>
          </w:p>
          <w:p>
            <w:pPr>
              <w:spacing/>
              <w:jc w:val="center"/>
              <w:rPr>
                <w:rFonts w:ascii="Arial" w:hAnsi="Arial" w:cs="Arial"/>
                <w:sz w:val="18"/>
                <w:szCs w:val="18"/>
                <w:lang w:val="en-US"/>
              </w:rPr>
            </w:pPr>
            <w:r>
              <w:rPr>
                <w:rFonts w:ascii="Arial" w:hAnsi="Arial" w:cs="Arial"/>
                <w:sz w:val="18"/>
                <w:szCs w:val="18"/>
                <w:lang w:val="en-US"/>
              </w:rPr>
              <w:t xml:space="preserve">1. Stainless steel M8 or M10 threaded bolt type.</w:t>
            </w:r>
          </w:p>
          <w:p>
            <w:pPr>
              <w:spacing/>
              <w:jc w:val="center"/>
              <w:rPr>
                <w:rFonts w:ascii="Arial" w:hAnsi="Arial" w:cs="Arial"/>
                <w:sz w:val="22"/>
                <w:szCs w:val="22"/>
              </w:rPr>
            </w:pPr>
            <w:r>
              <w:rPr>
                <w:rFonts w:ascii="Arial" w:hAnsi="Arial" w:cs="Arial"/>
                <w:sz w:val="18"/>
                <w:szCs w:val="18"/>
              </w:rPr>
              <w:t xml:space="preserve">2. Phoenix</w:t>
            </w:r>
            <w:r>
              <w:rPr>
                <w:rFonts w:ascii="Arial" w:hAnsi="Arial" w:cs="Arial"/>
                <w:sz w:val="18"/>
                <w:szCs w:val="18"/>
                <w:lang w:val="en-US"/>
              </w:rPr>
              <w:t xml:space="preserve"> or equivalent type screw connection terminal blocks for connection of wires with or without additional ferrules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rPr>
                <w:rFonts w:ascii="Arial" w:hAnsi="Arial" w:cs="Arial"/>
                <w:sz w:val="18"/>
                <w:szCs w:val="18"/>
                <w:vertAlign w:val="superscript"/>
              </w:rPr>
            </w:pPr>
            <w:r>
              <w:rPr>
                <w:rFonts w:ascii="Arial" w:hAnsi="Arial" w:cs="Arial"/>
                <w:sz w:val="18"/>
                <w:szCs w:val="18"/>
              </w:rPr>
              <w:t xml:space="preserve">Antrinių grandinių rinklės turi būti skirtos prijungti laidams, kurių skerspjūvis/ </w:t>
            </w:r>
            <w:r>
              <w:rPr>
                <w:rFonts w:ascii="Arial" w:hAnsi="Arial" w:cs="Arial"/>
                <w:sz w:val="18"/>
                <w:szCs w:val="18"/>
                <w:lang w:val="en-US"/>
              </w:rPr>
              <w:t xml:space="preserve">Secondary connections terminals shall be designed to connect wires with diameters, mm</w:t>
            </w:r>
            <w:r>
              <w:rPr>
                <w:rFonts w:ascii="Arial" w:hAnsi="Arial" w:cs="Arial"/>
                <w:sz w:val="18"/>
                <w:szCs w:val="18"/>
                <w:vertAlign w:val="superscript"/>
                <w:lang w:val="en-US"/>
              </w:rPr>
              <w:t xml:space="preserve">2</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Nuo 1 iki 10/</w:t>
            </w:r>
          </w:p>
          <w:p>
            <w:pPr>
              <w:spacing/>
              <w:jc w:val="center"/>
              <w:rPr>
                <w:rFonts w:ascii="Arial" w:hAnsi="Arial" w:cs="Arial"/>
                <w:sz w:val="18"/>
                <w:szCs w:val="18"/>
                <w:vertAlign w:val="superscript"/>
                <w:lang w:val="en-US"/>
              </w:rPr>
            </w:pPr>
            <w:r>
              <w:rPr>
                <w:rFonts w:ascii="Arial" w:hAnsi="Arial" w:cs="Arial"/>
                <w:sz w:val="18"/>
                <w:szCs w:val="18"/>
                <w:lang w:val="en-US"/>
              </w:rPr>
              <w:t xml:space="preserve">From 1 to 10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Gnybtų dėžės konstrukcijoje turi būti numatyta/</w:t>
            </w:r>
          </w:p>
          <w:p>
            <w:pPr>
              <w:spacing/>
              <w:rPr>
                <w:rFonts w:ascii="Arial" w:hAnsi="Arial" w:cs="Arial"/>
                <w:sz w:val="18"/>
                <w:szCs w:val="18"/>
              </w:rPr>
            </w:pPr>
            <w:r>
              <w:rPr>
                <w:rFonts w:ascii="Arial" w:hAnsi="Arial" w:cs="Arial"/>
                <w:sz w:val="18"/>
                <w:szCs w:val="18"/>
                <w:lang w:val="en-US"/>
              </w:rPr>
              <w:t xml:space="preserve">Construction of terminal box shall have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Plombavimo galimybė/</w:t>
            </w:r>
          </w:p>
          <w:p>
            <w:pPr>
              <w:spacing/>
              <w:jc w:val="center"/>
              <w:rPr>
                <w:rFonts w:ascii="Arial" w:hAnsi="Arial" w:cs="Arial"/>
                <w:sz w:val="18"/>
                <w:szCs w:val="18"/>
                <w:vertAlign w:val="superscript"/>
              </w:rPr>
            </w:pPr>
            <w:r>
              <w:rPr>
                <w:rFonts w:ascii="Arial" w:hAnsi="Arial" w:cs="Arial"/>
                <w:sz w:val="18"/>
                <w:szCs w:val="18"/>
                <w:lang w:val="en-US"/>
              </w:rPr>
              <w:t xml:space="preserve">Sealing </w:t>
            </w:r>
            <w:r>
              <w:rPr>
                <w:rFonts w:ascii="Arial" w:hAnsi="Arial" w:cs="Arial"/>
                <w:sz w:val="18"/>
                <w:szCs w:val="18"/>
                <w:lang w:val="en-US"/>
              </w:rPr>
              <w:t xml:space="preserve">possibility</w:t>
            </w:r>
            <w:r>
              <w:rPr>
                <w:rFonts w:ascii="Arial" w:hAnsi="Arial" w:cs="Arial"/>
                <w:sz w:val="18"/>
                <w:szCs w:val="18"/>
                <w:lang w:val="en-US"/>
              </w:rPr>
              <w:t xml:space="preserve">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2"/>
              </w:numPr>
              <w:spacing/>
              <w:rPr>
                <w:rFonts w:ascii="Arial" w:hAnsi="Arial" w:cs="Arial"/>
                <w:sz w:val="18"/>
                <w:szCs w:val="18"/>
              </w:rPr>
            </w:pPr>
          </w:p>
        </w:tc>
        <w:tc>
          <w:tcPr>
            <w:tcW w:type="dxa" w:w="3687"/>
            <w:gridSpan w:val="2"/>
            <w:tcBorders/>
          </w:tcPr>
          <w:p>
            <w:pPr>
              <w:spacing/>
              <w:rPr>
                <w:rFonts w:ascii="Arial" w:hAnsi="Arial" w:cs="Arial"/>
                <w:sz w:val="18"/>
                <w:szCs w:val="18"/>
              </w:rPr>
            </w:pPr>
            <w:r>
              <w:rPr>
                <w:rFonts w:ascii="Arial" w:hAnsi="Arial" w:cs="Arial"/>
                <w:sz w:val="18"/>
                <w:szCs w:val="18"/>
              </w:rPr>
              <w:t xml:space="preserve">Išvadų žymėjimai (sujungimų schema) pagal IEC 61869-2 ir IEC 61869-3/</w:t>
            </w:r>
          </w:p>
          <w:p>
            <w:pPr>
              <w:spacing/>
              <w:rPr>
                <w:rFonts w:ascii="Arial" w:hAnsi="Arial" w:cs="Arial"/>
                <w:sz w:val="18"/>
                <w:szCs w:val="18"/>
              </w:rPr>
            </w:pPr>
            <w:r>
              <w:rPr>
                <w:rFonts w:ascii="Arial" w:hAnsi="Arial" w:cs="Arial"/>
                <w:sz w:val="18"/>
                <w:szCs w:val="18"/>
                <w:lang w:val="en-US"/>
              </w:rPr>
              <w:t xml:space="preserve">Terminal markings (schematic diagram) according to IEC 61869-2 and IEC 61869-3</w:t>
            </w:r>
            <w:r>
              <w:rPr>
                <w:rFonts w:ascii="Arial" w:hAnsi="Arial" w:cs="Arial"/>
                <w:sz w:val="18"/>
                <w:szCs w:val="18"/>
              </w:rPr>
              <w:t xml:space="preserve"> </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Vidinėje gnybtų dėžutės (arba jos durelių) pusėje/</w:t>
            </w:r>
          </w:p>
          <w:p>
            <w:pPr>
              <w:spacing/>
              <w:jc w:val="center"/>
              <w:rPr>
                <w:rFonts w:ascii="Arial" w:hAnsi="Arial" w:cs="Arial"/>
                <w:sz w:val="18"/>
                <w:szCs w:val="18"/>
                <w:vertAlign w:val="superscript"/>
              </w:rPr>
            </w:pPr>
            <w:r>
              <w:rPr>
                <w:rFonts w:ascii="Arial" w:hAnsi="Arial" w:cs="Arial"/>
                <w:sz w:val="18"/>
                <w:szCs w:val="18"/>
                <w:lang w:val="en-US"/>
              </w:rPr>
              <w:t xml:space="preserve">On the inner side of terminal box (or its doors)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spacing/>
              <w:jc w:val="center"/>
              <w:rPr>
                <w:rFonts w:ascii="Arial" w:hAnsi="Arial" w:cs="Arial"/>
                <w:b/>
                <w:bCs/>
                <w:sz w:val="18"/>
                <w:szCs w:val="18"/>
              </w:rPr>
            </w:pPr>
            <w:r>
              <w:rPr>
                <w:rFonts w:ascii="Arial" w:hAnsi="Arial" w:cs="Arial"/>
                <w:b/>
                <w:bCs/>
                <w:sz w:val="18"/>
                <w:szCs w:val="18"/>
              </w:rPr>
              <w:t xml:space="preserve">8</w:t>
            </w:r>
            <w:r>
              <w:rPr>
                <w:rFonts w:ascii="Arial" w:hAnsi="Arial" w:cs="Arial"/>
                <w:b/>
                <w:bCs/>
                <w:sz w:val="18"/>
                <w:szCs w:val="18"/>
              </w:rPr>
              <w:t xml:space="preserve">.</w:t>
            </w:r>
          </w:p>
        </w:tc>
        <w:tc>
          <w:tcPr>
            <w:tcW w:type="dxa" w:w="14458"/>
            <w:gridSpan w:val="6"/>
            <w:tcBorders/>
            <w:vAlign w:val="center"/>
          </w:tcPr>
          <w:p>
            <w:pPr>
              <w:spacing/>
              <w:jc w:val="center"/>
              <w:rPr>
                <w:rFonts w:ascii="Arial" w:hAnsi="Arial" w:cs="Arial"/>
                <w:sz w:val="18"/>
                <w:szCs w:val="18"/>
              </w:rPr>
            </w:pPr>
            <w:r>
              <w:rPr>
                <w:rFonts w:ascii="Arial" w:hAnsi="Arial" w:cs="Arial"/>
                <w:b/>
                <w:bCs/>
                <w:sz w:val="18"/>
                <w:szCs w:val="18"/>
              </w:rPr>
              <w:t xml:space="preserve">Papildomi reikalavimai:/ </w:t>
            </w:r>
            <w:r>
              <w:rPr>
                <w:rFonts w:ascii="Arial" w:hAnsi="Arial" w:cs="Arial"/>
                <w:b/>
                <w:bCs/>
                <w:sz w:val="18"/>
                <w:szCs w:val="18"/>
                <w:lang w:val="en-US"/>
              </w:rPr>
              <w:t xml:space="preserve">Additional requirements:</w:t>
            </w:r>
          </w:p>
        </w:tc>
      </w:tr>
      <w:tr>
        <w:trPr>
          <w:cantSplit/>
        </w:trPr>
        <w:tc>
          <w:tcPr>
            <w:tcW w:type="dxa" w:w="705"/>
            <w:tcBorders/>
            <w:vAlign w:val="center"/>
          </w:tcPr>
          <w:p>
            <w:pPr>
              <w:pStyle w:val="ListParagraph"/>
              <w:numPr>
                <w:ilvl w:val="0"/>
                <w:numId w:val="7"/>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Metalinių konstrukcijų dalių apsauga nuo korozijos/</w:t>
            </w:r>
          </w:p>
          <w:p>
            <w:pPr>
              <w:spacing/>
              <w:rPr>
                <w:rFonts w:ascii="Arial" w:hAnsi="Arial" w:cs="Arial"/>
                <w:sz w:val="18"/>
                <w:szCs w:val="18"/>
              </w:rPr>
            </w:pPr>
            <w:r>
              <w:rPr>
                <w:rFonts w:ascii="Arial" w:hAnsi="Arial" w:cs="Arial"/>
                <w:sz w:val="18"/>
                <w:szCs w:val="18"/>
                <w:lang w:val="en-US"/>
              </w:rPr>
              <w:t xml:space="preserve">Corrosion protection of metal parts </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Nerūdijančio arba pagal EN ISO 1461 standartą karštai cinkuoto metalo/</w:t>
            </w:r>
          </w:p>
          <w:p>
            <w:pPr>
              <w:spacing/>
              <w:jc w:val="center"/>
              <w:rPr>
                <w:rFonts w:ascii="Arial" w:hAnsi="Arial" w:cs="Arial"/>
                <w:sz w:val="18"/>
                <w:szCs w:val="18"/>
              </w:rPr>
            </w:pPr>
            <w:r>
              <w:rPr>
                <w:rFonts w:ascii="Arial" w:hAnsi="Arial" w:cs="Arial"/>
                <w:sz w:val="18"/>
                <w:szCs w:val="18"/>
                <w:lang w:val="en-US"/>
              </w:rPr>
              <w:t xml:space="preserve">Stainless, or according to EN ISO 1461 </w:t>
            </w:r>
            <w:r>
              <w:rPr>
                <w:rFonts w:ascii="Arial" w:hAnsi="Arial" w:cs="Arial"/>
                <w:sz w:val="18"/>
                <w:szCs w:val="18"/>
                <w:lang w:val="en-US"/>
              </w:rPr>
              <w:t xml:space="preserve">hot-dip</w:t>
            </w:r>
            <w:r>
              <w:rPr>
                <w:rFonts w:ascii="Arial" w:hAnsi="Arial" w:cs="Arial"/>
                <w:sz w:val="18"/>
                <w:szCs w:val="18"/>
                <w:lang w:val="en-US"/>
              </w:rPr>
              <w:t xml:space="preserve"> galvanized standard metal </w:t>
            </w:r>
            <w:r>
              <w:rPr>
                <w:rFonts w:ascii="Arial" w:hAnsi="Arial" w:cs="Arial"/>
                <w:sz w:val="18"/>
                <w:szCs w:val="18"/>
                <w:vertAlign w:val="superscript"/>
                <w:lang w:val="en-US"/>
              </w:rPr>
              <w:t xml:space="preserve">a</w:t>
            </w:r>
            <w:r>
              <w:rPr>
                <w:rFonts w:ascii="Arial" w:hAnsi="Arial" w:cs="Arial"/>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7"/>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Vardinių dydžių lentelės/</w:t>
            </w:r>
          </w:p>
          <w:p>
            <w:pPr>
              <w:spacing/>
              <w:rPr>
                <w:rFonts w:ascii="Arial" w:hAnsi="Arial" w:cs="Arial"/>
                <w:sz w:val="18"/>
                <w:szCs w:val="18"/>
              </w:rPr>
            </w:pPr>
            <w:r>
              <w:rPr>
                <w:rFonts w:ascii="Arial" w:hAnsi="Arial" w:cs="Arial"/>
                <w:sz w:val="18"/>
                <w:szCs w:val="18"/>
                <w:lang w:val="en-US"/>
              </w:rPr>
              <w:t xml:space="preserve">Nameplates </w:t>
            </w:r>
            <w:r>
              <w:rPr>
                <w:rFonts w:ascii="Arial" w:hAnsi="Arial" w:cs="Arial"/>
                <w:sz w:val="18"/>
                <w:szCs w:val="18"/>
                <w:vertAlign w:val="superscript"/>
                <w:lang w:val="en-US"/>
              </w:rPr>
              <w:t xml:space="preserve">4</w:t>
            </w:r>
            <w:r>
              <w:rPr>
                <w:rFonts w:ascii="Arial" w:hAnsi="Arial" w:cs="Arial"/>
                <w:sz w:val="18"/>
                <w:szCs w:val="18"/>
                <w:vertAlign w:val="superscript"/>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Graviruotos, oro sąlygoms atsparios medžiagos plokštelės, lietuvių kalba/</w:t>
            </w:r>
          </w:p>
          <w:p>
            <w:pPr>
              <w:spacing/>
              <w:jc w:val="center"/>
              <w:rPr>
                <w:rFonts w:ascii="Arial" w:hAnsi="Arial" w:cs="Arial"/>
                <w:sz w:val="18"/>
                <w:szCs w:val="18"/>
              </w:rPr>
            </w:pPr>
            <w:r>
              <w:rPr>
                <w:rFonts w:ascii="Arial" w:hAnsi="Arial" w:cs="Arial"/>
                <w:sz w:val="18"/>
                <w:szCs w:val="18"/>
                <w:lang w:val="en-US"/>
              </w:rPr>
              <w:t xml:space="preserve">Engraved weatherproof material plates, all text in Lithuanian </w:t>
            </w:r>
            <w:r>
              <w:rPr>
                <w:rFonts w:ascii="Arial" w:hAnsi="Arial" w:cs="Arial"/>
                <w:sz w:val="18"/>
                <w:szCs w:val="18"/>
                <w:vertAlign w:val="superscript"/>
                <w:lang w:val="en-US"/>
              </w:rPr>
              <w:t xml:space="preserve">a</w:t>
            </w:r>
            <w:r>
              <w:rPr>
                <w:rFonts w:ascii="Arial" w:hAnsi="Arial" w:cs="Arial"/>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7"/>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Kiekvienam transformatoriui po pagaminimo turi būti atlikti papildomi bandymai pagal IEC 61869-1, pateikiant Užsakovui protokolų kopijas/</w:t>
            </w:r>
          </w:p>
          <w:p>
            <w:pPr>
              <w:spacing/>
              <w:rPr>
                <w:rFonts w:ascii="Arial" w:hAnsi="Arial" w:cs="Arial"/>
                <w:sz w:val="18"/>
                <w:szCs w:val="18"/>
              </w:rPr>
            </w:pPr>
            <w:r>
              <w:rPr>
                <w:rFonts w:ascii="Arial" w:hAnsi="Arial" w:cs="Arial"/>
                <w:sz w:val="18"/>
                <w:szCs w:val="18"/>
                <w:lang w:val="en-US"/>
              </w:rPr>
              <w:t xml:space="preserve">Special tests according to IEC 61869-1 to be performed on each assembled transformer. Copies of test reports shall be provided to the Customer</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Talpos (C) ir dielektrinių nuostolių (tg ẟ) matavimas</w:t>
            </w:r>
            <w:r>
              <w:rPr>
                <w:rFonts w:ascii="Arial" w:hAnsi="Arial" w:cs="Arial"/>
                <w:sz w:val="18"/>
                <w:szCs w:val="18"/>
                <w:lang w:val="en-US"/>
              </w:rPr>
              <w:t xml:space="preserve">/</w:t>
            </w:r>
          </w:p>
          <w:p>
            <w:pPr>
              <w:spacing/>
              <w:jc w:val="center"/>
              <w:rPr>
                <w:rFonts w:ascii="Arial" w:hAnsi="Arial" w:cs="Arial"/>
                <w:sz w:val="18"/>
                <w:szCs w:val="18"/>
              </w:rPr>
            </w:pPr>
            <w:r>
              <w:rPr>
                <w:rFonts w:ascii="Arial" w:hAnsi="Arial" w:cs="Arial"/>
                <w:sz w:val="18"/>
                <w:szCs w:val="18"/>
                <w:lang w:val="en-US"/>
              </w:rPr>
              <w:t xml:space="preserve">Measurement of capacitance (C) and dielectric dissipation factor (tg ẟ) </w:t>
            </w:r>
            <w:r>
              <w:rPr>
                <w:rFonts w:ascii="Arial" w:hAnsi="Arial" w:cs="Arial"/>
                <w:sz w:val="18"/>
                <w:szCs w:val="18"/>
                <w:vertAlign w:val="superscript"/>
                <w:lang w:val="en-US"/>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bl>
    <w:p w14:paraId="0BD2597E">
      <w:pPr>
        <w:spacing/>
        <w:rPr>
          <w:rFonts w:ascii="Arial" w:hAnsi="Arial" w:cs="Arial"/>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163"/>
      </w:tblGrid>
      <w:tr>
        <w:trPr/>
        <w:tc>
          <w:tcPr>
            <w:tcW w:type="dxa" w:w="15163"/>
            <w:tcBorders/>
          </w:tcPr>
          <w:p>
            <w:pPr>
              <w:spacing/>
              <w:jc w:val="both"/>
              <w:rPr>
                <w:rFonts w:ascii="Arial" w:hAnsi="Arial" w:cs="Arial"/>
                <w:b/>
                <w:color w:val="000000"/>
                <w:sz w:val="18"/>
                <w:szCs w:val="18"/>
                <w:lang w:val="en-US"/>
              </w:rPr>
            </w:pPr>
            <w:r>
              <w:rPr>
                <w:rFonts w:ascii="Arial" w:hAnsi="Arial" w:cs="Arial"/>
                <w:b/>
                <w:color w:val="000000"/>
                <w:sz w:val="18"/>
                <w:szCs w:val="18"/>
              </w:rPr>
              <w:t xml:space="preserve">Pastabos/ </w:t>
            </w:r>
            <w:r>
              <w:rPr>
                <w:rFonts w:ascii="Arial" w:hAnsi="Arial" w:cs="Arial"/>
                <w:b/>
                <w:color w:val="000000"/>
                <w:sz w:val="18"/>
                <w:szCs w:val="18"/>
                <w:lang w:val="en-US"/>
              </w:rPr>
              <w:t xml:space="preserve">Notes:</w:t>
            </w:r>
          </w:p>
          <w:p>
            <w:pPr>
              <w:spacing/>
              <w:jc w:val="both"/>
              <w:rPr>
                <w:rFonts w:ascii="Arial" w:hAnsi="Arial" w:cs="Arial"/>
                <w:b/>
                <w:color w:val="000000"/>
                <w:sz w:val="18"/>
                <w:szCs w:val="18"/>
              </w:rPr>
            </w:pPr>
          </w:p>
          <w:p>
            <w:pPr>
              <w:spacing/>
              <w:jc w:val="both"/>
              <w:rPr>
                <w:rFonts w:ascii="Arial" w:hAnsi="Arial" w:cs="Arial"/>
                <w:b/>
                <w:color w:val="000000"/>
                <w:sz w:val="18"/>
                <w:szCs w:val="18"/>
                <w:lang w:val="en-US"/>
              </w:rPr>
            </w:pPr>
            <w:r>
              <w:rPr>
                <w:rFonts w:ascii="Arial" w:hAnsi="Arial" w:cs="Arial"/>
                <w:b/>
                <w:color w:val="000000"/>
                <w:sz w:val="18"/>
                <w:szCs w:val="18"/>
              </w:rPr>
              <w:t xml:space="preserve">Gamintojas gali vadovautis standartais ir sertifikatais lygiaverčiais šiuose reikalavimuose nurodytiems IEC standartams ir ISO sertifikatams/ </w:t>
            </w:r>
            <w:r>
              <w:rPr>
                <w:rFonts w:ascii="Arial" w:hAnsi="Arial" w:cs="Arial"/>
                <w:b/>
                <w:color w:val="000000"/>
                <w:sz w:val="18"/>
                <w:szCs w:val="18"/>
                <w:lang w:val="en-US"/>
              </w:rPr>
              <w:t xml:space="preserve">The Manufacturer may follow the standards and certificates equivalent to IEC standards and ISO certificates specified in these requirements</w:t>
            </w:r>
          </w:p>
          <w:p>
            <w:pPr>
              <w:spacing w:before="240"/>
              <w:jc w:val="both"/>
              <w:rPr>
                <w:rFonts w:ascii="Arial" w:hAnsi="Arial" w:cs="Arial"/>
                <w:b/>
                <w:color w:val="000000"/>
                <w:sz w:val="18"/>
                <w:szCs w:val="18"/>
                <w:lang w:val="en-US"/>
              </w:rPr>
            </w:pPr>
            <w:r>
              <w:rPr>
                <w:rFonts w:ascii="Arial" w:hAnsi="Arial" w:cs="Arial"/>
                <w:b/>
                <w:color w:val="000000"/>
                <w:sz w:val="18"/>
                <w:szCs w:val="18"/>
              </w:rPr>
              <w:t xml:space="preserve">Šiuose reikalavimuose ir jų prieduose naudojamų indeksų paaiškinimai:</w:t>
            </w:r>
            <w:r>
              <w:rPr>
                <w:rFonts w:ascii="Arial" w:hAnsi="Arial" w:cs="Arial"/>
                <w:b/>
                <w:color w:val="000000"/>
                <w:sz w:val="18"/>
                <w:szCs w:val="18"/>
                <w:lang w:val="en-US"/>
              </w:rPr>
              <w:t xml:space="preserve">/ Explanation of the indices used in these requirements and its annexes:</w:t>
            </w:r>
          </w:p>
          <w:p>
            <w:pPr>
              <w:spacing/>
              <w:jc w:val="both"/>
              <w:rPr>
                <w:rFonts w:ascii="Arial" w:hAnsi="Arial" w:cs="Arial"/>
                <w:color w:val="000000"/>
                <w:sz w:val="18"/>
                <w:szCs w:val="18"/>
              </w:rPr>
            </w:pPr>
            <w:r>
              <w:rPr>
                <w:rFonts w:ascii="Arial" w:hAnsi="Arial" w:cs="Arial"/>
                <w:color w:val="000000"/>
                <w:sz w:val="18"/>
                <w:szCs w:val="18"/>
                <w:vertAlign w:val="superscript"/>
              </w:rPr>
              <w:t xml:space="preserve">1)</w:t>
            </w:r>
            <w:r>
              <w:rPr>
                <w:rFonts w:ascii="Arial" w:hAnsi="Arial" w:cs="Arial"/>
                <w:color w:val="000000"/>
                <w:sz w:val="18"/>
                <w:szCs w:val="18"/>
              </w:rPr>
              <w:t xml:space="preserve"> </w:t>
            </w:r>
            <w:r>
              <w:rPr>
                <w:rFonts w:ascii="Arial" w:hAnsi="Arial" w:cs="Arial"/>
                <w:color w:val="000000"/>
                <w:sz w:val="18"/>
                <w:szCs w:val="18"/>
              </w:rPr>
              <w:t xml:space="preserve">Nurodoma „Netaikoma“ jei konkretus įrenginys nėra projektuojamas arba tiekiamas. / </w:t>
            </w:r>
            <w:r>
              <w:rPr>
                <w:rFonts w:ascii="Arial" w:hAnsi="Arial" w:cs="Arial"/>
                <w:color w:val="000000"/>
                <w:sz w:val="18"/>
                <w:szCs w:val="18"/>
                <w:lang w:val="en-GB"/>
              </w:rPr>
              <w:t xml:space="preserve">Specified „Not applicable“ in case of specific equipment unit is not designed or supplied.</w:t>
            </w:r>
          </w:p>
          <w:p>
            <w:pPr>
              <w:spacing/>
              <w:jc w:val="both"/>
              <w:rPr>
                <w:rFonts w:ascii="Arial" w:hAnsi="Arial" w:cs="Arial"/>
                <w:color w:val="000000"/>
                <w:sz w:val="18"/>
                <w:szCs w:val="18"/>
                <w:lang w:val="en-US"/>
              </w:rPr>
            </w:pPr>
            <w:r>
              <w:rPr>
                <w:rFonts w:ascii="Arial" w:hAnsi="Arial" w:cs="Arial"/>
                <w:sz w:val="18"/>
                <w:szCs w:val="18"/>
                <w:vertAlign w:val="superscript"/>
              </w:rPr>
              <w:t xml:space="preserve">2)</w:t>
            </w:r>
            <w:r>
              <w:rPr>
                <w:rFonts w:ascii="Arial" w:hAnsi="Arial" w:cs="Arial"/>
                <w:sz w:val="18"/>
                <w:szCs w:val="18"/>
              </w:rPr>
              <w:t xml:space="preserve"> </w:t>
            </w:r>
            <w:r>
              <w:rPr>
                <w:rFonts w:ascii="Arial" w:hAnsi="Arial" w:cs="Arial"/>
                <w:color w:val="000000"/>
                <w:sz w:val="18"/>
                <w:szCs w:val="18"/>
              </w:rPr>
              <w:t xml:space="preserve">Techniniame projekte dydžių reikšmės gali būti koreguojamos, tačiau tik griežtinant reikalavimus/ </w:t>
            </w:r>
            <w:r>
              <w:rPr>
                <w:rFonts w:ascii="Arial" w:hAnsi="Arial" w:cs="Arial"/>
                <w:color w:val="000000"/>
                <w:sz w:val="18"/>
                <w:szCs w:val="18"/>
                <w:lang w:val="en-US"/>
              </w:rPr>
              <w:t xml:space="preserve">Values can be adjusted</w:t>
            </w:r>
            <w:r>
              <w:rPr>
                <w:rFonts w:ascii="Arial" w:hAnsi="Arial" w:cs="Arial"/>
                <w:color w:val="000000"/>
                <w:sz w:val="18"/>
                <w:szCs w:val="18"/>
              </w:rPr>
              <w:t xml:space="preserve"> </w:t>
            </w:r>
            <w:r>
              <w:rPr>
                <w:rFonts w:ascii="Arial" w:hAnsi="Arial" w:cs="Arial"/>
                <w:color w:val="000000"/>
                <w:sz w:val="18"/>
                <w:szCs w:val="18"/>
                <w:lang w:val="en-US"/>
              </w:rPr>
              <w:t xml:space="preserve">in a process of preparation of the technical project but only</w:t>
            </w:r>
            <w:r>
              <w:rPr>
                <w:rFonts w:ascii="Arial" w:hAnsi="Arial" w:cs="Arial"/>
                <w:color w:val="000000"/>
                <w:sz w:val="18"/>
                <w:szCs w:val="18"/>
              </w:rPr>
              <w:t xml:space="preserve"> to </w:t>
            </w:r>
            <w:r>
              <w:rPr>
                <w:rFonts w:ascii="Arial" w:hAnsi="Arial" w:cs="Arial"/>
                <w:color w:val="000000"/>
                <w:sz w:val="18"/>
                <w:szCs w:val="18"/>
                <w:lang w:val="en-US"/>
              </w:rPr>
              <w:t xml:space="preserve">more severe conditions.</w:t>
            </w:r>
          </w:p>
          <w:p>
            <w:pPr>
              <w:spacing/>
              <w:jc w:val="both"/>
              <w:rPr>
                <w:rFonts w:ascii="Arial" w:hAnsi="Arial" w:cs="Arial"/>
                <w:sz w:val="18"/>
                <w:szCs w:val="18"/>
                <w:lang w:val="en-GB"/>
              </w:rPr>
            </w:pPr>
            <w:r>
              <w:rPr>
                <w:rFonts w:ascii="Arial" w:hAnsi="Arial" w:cs="Arial"/>
                <w:sz w:val="18"/>
                <w:szCs w:val="18"/>
                <w:vertAlign w:val="superscript"/>
              </w:rPr>
              <w:t xml:space="preserve">3</w:t>
            </w:r>
            <w:r>
              <w:rPr>
                <w:rFonts w:ascii="Arial" w:hAnsi="Arial" w:cs="Arial"/>
                <w:sz w:val="18"/>
                <w:szCs w:val="18"/>
                <w:vertAlign w:val="superscript"/>
              </w:rPr>
              <w:t xml:space="preserve">)</w:t>
            </w:r>
            <w:r>
              <w:rPr>
                <w:rFonts w:ascii="Arial" w:hAnsi="Arial" w:cs="Arial"/>
                <w:sz w:val="18"/>
                <w:szCs w:val="18"/>
              </w:rPr>
              <w:t xml:space="preserve"> Apkrovų, veikiančių ilgalaikėmis </w:t>
            </w:r>
            <w:bookmarkStart w:id="2" w:name="_Hlk89267592"/>
            <w:r>
              <w:rPr>
                <w:rFonts w:ascii="Arial" w:hAnsi="Arial" w:cs="Arial"/>
                <w:sz w:val="18"/>
                <w:szCs w:val="18"/>
              </w:rPr>
              <w:t xml:space="preserve">normaliomis eksploatavimo sąlygomis </w:t>
            </w:r>
            <w:bookmarkStart w:id="3" w:name="_Hlk89267614"/>
            <w:bookmarkEnd w:id="2"/>
            <w:r>
              <w:rPr>
                <w:rFonts w:ascii="Arial" w:hAnsi="Arial" w:cs="Arial"/>
                <w:sz w:val="18"/>
                <w:szCs w:val="18"/>
              </w:rPr>
              <w:t xml:space="preserve">(įskaitant vėjo ir ledo poveikį)</w:t>
            </w:r>
            <w:bookmarkEnd w:id="3"/>
            <w:r>
              <w:rPr>
                <w:rFonts w:ascii="Arial" w:hAnsi="Arial" w:cs="Arial"/>
                <w:sz w:val="18"/>
                <w:szCs w:val="18"/>
              </w:rPr>
              <w:t xml:space="preserve"> suma neturi viršyti: įtampos transformatoriams - 625N, srovės</w:t>
            </w:r>
            <w:r>
              <w:rPr>
                <w:rFonts w:ascii="Arial" w:hAnsi="Arial" w:cs="Arial"/>
                <w:sz w:val="18"/>
                <w:szCs w:val="18"/>
              </w:rPr>
              <w:t xml:space="preserve"> ir kombinuotiems</w:t>
            </w:r>
            <w:r>
              <w:rPr>
                <w:rFonts w:ascii="Arial" w:hAnsi="Arial" w:cs="Arial"/>
                <w:sz w:val="18"/>
                <w:szCs w:val="18"/>
              </w:rPr>
              <w:t xml:space="preserve"> transformatoriams – 2000N. Jei nurodyta sąlyga netenkinama, šalia matavimo transformatorių laidininkų laikymui projektuojami atraminiai izoliatoriai. / T</w:t>
            </w:r>
            <w:r>
              <w:rPr>
                <w:rFonts w:ascii="Arial" w:hAnsi="Arial" w:cs="Arial"/>
                <w:sz w:val="18"/>
                <w:szCs w:val="18"/>
                <w:lang w:val="en-GB"/>
              </w:rPr>
              <w:t xml:space="preserve">he sum of the loads acting in long term routinely operating conditions (including wind and ice impact) should not exceed: for voltage transformers – 625N, for current</w:t>
            </w:r>
            <w:r>
              <w:rPr>
                <w:rFonts w:ascii="Arial" w:hAnsi="Arial" w:cs="Arial"/>
                <w:sz w:val="18"/>
                <w:szCs w:val="18"/>
                <w:lang w:val="en-GB"/>
              </w:rPr>
              <w:t xml:space="preserve"> and combined</w:t>
            </w:r>
            <w:r>
              <w:rPr>
                <w:rFonts w:ascii="Arial" w:hAnsi="Arial" w:cs="Arial"/>
                <w:sz w:val="18"/>
                <w:szCs w:val="18"/>
                <w:lang w:val="en-GB"/>
              </w:rPr>
              <w:t xml:space="preserve"> transformers - 2000N. If specified condition is not met, support insulators shall be designed along instrument transformers to hold the conductors.</w:t>
            </w:r>
          </w:p>
          <w:p>
            <w:pPr>
              <w:spacing/>
              <w:jc w:val="both"/>
              <w:rPr>
                <w:rStyle w:val="hps"/>
                <w:rFonts w:ascii="Arial" w:hAnsi="Arial" w:cs="Arial"/>
                <w:sz w:val="18"/>
                <w:szCs w:val="18"/>
                <w:lang w:val="en-US"/>
              </w:rPr>
            </w:pPr>
            <w:r>
              <w:rPr>
                <w:rFonts w:ascii="Arial" w:hAnsi="Arial" w:cs="Arial"/>
                <w:sz w:val="18"/>
                <w:szCs w:val="18"/>
                <w:vertAlign w:val="superscript"/>
              </w:rPr>
              <w:t xml:space="preserve">4</w:t>
            </w:r>
            <w:r>
              <w:rPr>
                <w:rFonts w:ascii="Arial" w:hAnsi="Arial" w:cs="Arial"/>
                <w:sz w:val="18"/>
                <w:szCs w:val="18"/>
                <w:vertAlign w:val="superscript"/>
              </w:rPr>
              <w:t xml:space="preserve">)</w:t>
            </w:r>
            <w:r>
              <w:rPr>
                <w:rFonts w:ascii="Arial" w:hAnsi="Arial" w:cs="Arial"/>
                <w:sz w:val="18"/>
                <w:szCs w:val="18"/>
              </w:rPr>
              <w:t xml:space="preserve"> </w:t>
            </w:r>
            <w:r>
              <w:rPr>
                <w:rStyle w:val="hps"/>
                <w:rFonts w:ascii="Arial" w:hAnsi="Arial" w:cs="Arial"/>
                <w:sz w:val="18"/>
                <w:szCs w:val="18"/>
              </w:rPr>
              <w:t xml:space="preserve">Vardinių dydžių lentelės turi atitikti Litgrid AB standartinius techninius reikalavimus pirminių įrenginių duomenų lentelėms/ </w:t>
            </w:r>
            <w:r>
              <w:rPr>
                <w:rStyle w:val="hps"/>
                <w:rFonts w:ascii="Arial" w:hAnsi="Arial" w:cs="Arial"/>
                <w:sz w:val="18"/>
                <w:szCs w:val="18"/>
                <w:lang w:val="en-US"/>
              </w:rPr>
              <w:t xml:space="preserve">Nameplates shall be designed according to Litgrid AB standard technical requirements for nameplates of primary equipment.</w:t>
            </w:r>
          </w:p>
          <w:p>
            <w:pPr>
              <w:spacing/>
              <w:jc w:val="both"/>
              <w:rPr>
                <w:rFonts w:ascii="Arial" w:hAnsi="Arial" w:cs="Arial"/>
                <w:sz w:val="18"/>
                <w:szCs w:val="18"/>
              </w:rPr>
            </w:pPr>
            <w:r>
              <w:rPr>
                <w:rFonts w:ascii="Arial" w:hAnsi="Arial" w:cs="Arial"/>
                <w:sz w:val="18"/>
                <w:szCs w:val="18"/>
                <w:vertAlign w:val="superscript"/>
              </w:rPr>
              <w:t xml:space="preserve">5</w:t>
            </w:r>
            <w:r>
              <w:rPr>
                <w:rFonts w:ascii="Arial" w:hAnsi="Arial" w:cs="Arial"/>
                <w:sz w:val="18"/>
                <w:szCs w:val="18"/>
                <w:vertAlign w:val="superscript"/>
              </w:rPr>
              <w:t xml:space="preserve">)</w:t>
            </w:r>
            <w:r>
              <w:rPr>
                <w:rFonts w:ascii="Arial" w:hAnsi="Arial" w:cs="Arial"/>
                <w:sz w:val="18"/>
                <w:szCs w:val="18"/>
              </w:rPr>
              <w:t xml:space="preserve"> </w:t>
            </w:r>
            <w:r>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Pr>
                <w:rFonts w:ascii="Arial" w:hAnsi="Arial" w:cs="Arial"/>
                <w:color w:val="000000"/>
                <w:sz w:val="18"/>
                <w:szCs w:val="18"/>
                <w:lang w:val="en-US"/>
              </w:rPr>
              <w:t xml:space="preserve">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p>
          <w:p>
            <w:pPr>
              <w:spacing/>
              <w:jc w:val="both"/>
              <w:rPr>
                <w:rFonts w:ascii="Arial" w:hAnsi="Arial" w:cs="Arial"/>
                <w:color w:val="000000"/>
                <w:sz w:val="18"/>
                <w:szCs w:val="18"/>
              </w:rPr>
            </w:pPr>
            <w:r>
              <w:rPr>
                <w:rFonts w:ascii="Arial" w:hAnsi="Arial" w:cs="Arial"/>
                <w:sz w:val="18"/>
                <w:szCs w:val="18"/>
                <w:vertAlign w:val="superscript"/>
              </w:rPr>
              <w:t xml:space="preserve">6</w:t>
            </w:r>
            <w:r>
              <w:rPr>
                <w:rFonts w:ascii="Arial" w:hAnsi="Arial" w:cs="Arial"/>
                <w:sz w:val="18"/>
                <w:szCs w:val="18"/>
                <w:vertAlign w:val="superscript"/>
              </w:rPr>
              <w:t xml:space="preserve">)</w:t>
            </w:r>
            <w:r>
              <w:rPr>
                <w:rFonts w:ascii="Arial" w:hAnsi="Arial" w:cs="Arial"/>
                <w:sz w:val="18"/>
                <w:szCs w:val="18"/>
              </w:rPr>
              <w:t xml:space="preserve"> </w:t>
            </w:r>
            <w:r>
              <w:rPr>
                <w:rFonts w:ascii="Arial" w:hAnsi="Arial" w:cs="Arial"/>
                <w:color w:val="000000"/>
                <w:sz w:val="18"/>
                <w:szCs w:val="18"/>
              </w:rPr>
              <w:t xml:space="preserve">Vardinė ilgalaikė terminė srovė (I</w:t>
            </w:r>
            <w:r>
              <w:rPr>
                <w:rFonts w:ascii="Arial" w:hAnsi="Arial" w:cs="Arial"/>
                <w:color w:val="000000"/>
                <w:sz w:val="18"/>
                <w:szCs w:val="18"/>
                <w:vertAlign w:val="subscript"/>
              </w:rPr>
              <w:t xml:space="preserve">cth</w:t>
            </w:r>
            <w:r>
              <w:rPr>
                <w:rFonts w:ascii="Arial" w:hAnsi="Arial" w:cs="Arial"/>
                <w:color w:val="000000"/>
                <w:sz w:val="18"/>
                <w:szCs w:val="18"/>
              </w:rPr>
              <w:t xml:space="preserve">) parenkama techninio projekto rengimo metu pagal formulę: I</w:t>
            </w:r>
            <w:r>
              <w:rPr>
                <w:rFonts w:ascii="Arial" w:hAnsi="Arial" w:cs="Arial"/>
                <w:color w:val="000000"/>
                <w:sz w:val="18"/>
                <w:szCs w:val="18"/>
                <w:vertAlign w:val="subscript"/>
              </w:rPr>
              <w:t xml:space="preserve">cth</w:t>
            </w:r>
            <w:r>
              <w:rPr>
                <w:rFonts w:ascii="Arial" w:hAnsi="Arial" w:cs="Arial"/>
                <w:color w:val="000000"/>
                <w:sz w:val="18"/>
                <w:szCs w:val="18"/>
              </w:rPr>
              <w:t xml:space="preserve">(A) = I</w:t>
            </w:r>
            <w:r>
              <w:rPr>
                <w:rFonts w:ascii="Arial" w:hAnsi="Arial" w:cs="Arial"/>
                <w:color w:val="000000"/>
                <w:sz w:val="18"/>
                <w:szCs w:val="18"/>
                <w:vertAlign w:val="subscript"/>
              </w:rPr>
              <w:t xml:space="preserve">pr</w:t>
            </w:r>
            <w:r>
              <w:rPr>
                <w:rFonts w:ascii="Arial" w:hAnsi="Arial" w:cs="Arial"/>
                <w:color w:val="000000"/>
                <w:sz w:val="18"/>
                <w:szCs w:val="18"/>
              </w:rPr>
              <w:t xml:space="preserve">(A) x I</w:t>
            </w:r>
            <w:r>
              <w:rPr>
                <w:rFonts w:ascii="Arial" w:hAnsi="Arial" w:cs="Arial"/>
                <w:color w:val="000000"/>
                <w:sz w:val="18"/>
                <w:szCs w:val="18"/>
                <w:vertAlign w:val="subscript"/>
              </w:rPr>
              <w:t xml:space="preserve">cth</w:t>
            </w:r>
            <w:r>
              <w:rPr>
                <w:rFonts w:ascii="Arial" w:hAnsi="Arial" w:cs="Arial"/>
                <w:color w:val="000000"/>
                <w:sz w:val="18"/>
                <w:szCs w:val="18"/>
              </w:rPr>
              <w:t xml:space="preserve">(%), kur:</w:t>
            </w:r>
          </w:p>
          <w:p>
            <w:pPr>
              <w:spacing/>
              <w:jc w:val="both"/>
              <w:rPr>
                <w:rFonts w:ascii="Arial" w:hAnsi="Arial" w:cs="Arial"/>
                <w:color w:val="000000"/>
                <w:sz w:val="18"/>
                <w:szCs w:val="18"/>
              </w:rPr>
            </w:pPr>
            <w:r>
              <w:rPr>
                <w:rFonts w:ascii="Arial" w:hAnsi="Arial" w:cs="Arial"/>
                <w:color w:val="000000"/>
                <w:sz w:val="18"/>
                <w:szCs w:val="18"/>
              </w:rPr>
              <w:t xml:space="preserve">I</w:t>
            </w:r>
            <w:r>
              <w:rPr>
                <w:rFonts w:ascii="Arial" w:hAnsi="Arial" w:cs="Arial"/>
                <w:color w:val="000000"/>
                <w:sz w:val="18"/>
                <w:szCs w:val="18"/>
                <w:vertAlign w:val="subscript"/>
              </w:rPr>
              <w:t xml:space="preserve">cth</w:t>
            </w:r>
            <w:r>
              <w:rPr>
                <w:rFonts w:ascii="Arial" w:hAnsi="Arial" w:cs="Arial"/>
                <w:color w:val="000000"/>
                <w:sz w:val="18"/>
                <w:szCs w:val="18"/>
              </w:rPr>
              <w:t xml:space="preserve">(A) - vardinės ilgalaikės terminės srovės vertė amperais;</w:t>
            </w:r>
          </w:p>
          <w:p>
            <w:pPr>
              <w:spacing/>
              <w:jc w:val="both"/>
              <w:rPr>
                <w:rFonts w:ascii="Arial" w:hAnsi="Arial" w:cs="Arial"/>
                <w:color w:val="000000"/>
                <w:sz w:val="18"/>
                <w:szCs w:val="18"/>
              </w:rPr>
            </w:pPr>
            <w:r>
              <w:rPr>
                <w:rFonts w:ascii="Arial" w:hAnsi="Arial" w:cs="Arial"/>
                <w:color w:val="000000"/>
                <w:sz w:val="18"/>
                <w:szCs w:val="18"/>
              </w:rPr>
              <w:t xml:space="preserve">I</w:t>
            </w:r>
            <w:r>
              <w:rPr>
                <w:rFonts w:ascii="Arial" w:hAnsi="Arial" w:cs="Arial"/>
                <w:color w:val="000000"/>
                <w:sz w:val="18"/>
                <w:szCs w:val="18"/>
                <w:vertAlign w:val="subscript"/>
              </w:rPr>
              <w:t xml:space="preserve">pr</w:t>
            </w:r>
            <w:r>
              <w:rPr>
                <w:rFonts w:ascii="Arial" w:hAnsi="Arial" w:cs="Arial"/>
                <w:color w:val="000000"/>
                <w:sz w:val="18"/>
                <w:szCs w:val="18"/>
              </w:rPr>
              <w:t xml:space="preserve">(A) – pirminės vardinės srovės vertė amperais;</w:t>
            </w:r>
          </w:p>
          <w:p>
            <w:pPr>
              <w:spacing/>
              <w:jc w:val="both"/>
              <w:rPr>
                <w:rFonts w:ascii="Arial" w:hAnsi="Arial" w:cs="Arial"/>
                <w:color w:val="000000"/>
                <w:sz w:val="18"/>
                <w:szCs w:val="18"/>
              </w:rPr>
            </w:pPr>
            <w:r>
              <w:rPr>
                <w:rFonts w:ascii="Arial" w:hAnsi="Arial" w:cs="Arial"/>
                <w:color w:val="000000"/>
                <w:sz w:val="18"/>
                <w:szCs w:val="18"/>
              </w:rPr>
              <w:t xml:space="preserve">I</w:t>
            </w:r>
            <w:r>
              <w:rPr>
                <w:rFonts w:ascii="Arial" w:hAnsi="Arial" w:cs="Arial"/>
                <w:color w:val="000000"/>
                <w:sz w:val="18"/>
                <w:szCs w:val="18"/>
                <w:vertAlign w:val="subscript"/>
              </w:rPr>
              <w:t xml:space="preserve">cth</w:t>
            </w:r>
            <w:r>
              <w:rPr>
                <w:rFonts w:ascii="Arial" w:hAnsi="Arial" w:cs="Arial"/>
                <w:color w:val="000000"/>
                <w:sz w:val="18"/>
                <w:szCs w:val="18"/>
              </w:rPr>
              <w:t xml:space="preserve">(%) - vardinės ilgalaikės terminės srovės vertė procentais nuo pirminės vardinės srovės. Pvz. I</w:t>
            </w:r>
            <w:r>
              <w:rPr>
                <w:rFonts w:ascii="Arial" w:hAnsi="Arial" w:cs="Arial"/>
                <w:color w:val="000000"/>
                <w:sz w:val="18"/>
                <w:szCs w:val="18"/>
                <w:vertAlign w:val="subscript"/>
              </w:rPr>
              <w:t xml:space="preserve">pr</w:t>
            </w:r>
            <w:r>
              <w:rPr>
                <w:rFonts w:ascii="Arial" w:hAnsi="Arial" w:cs="Arial"/>
                <w:color w:val="000000"/>
                <w:sz w:val="18"/>
                <w:szCs w:val="18"/>
              </w:rPr>
              <w:t xml:space="preserve">(A) = 300A, I</w:t>
            </w:r>
            <w:r>
              <w:rPr>
                <w:rFonts w:ascii="Arial" w:hAnsi="Arial" w:cs="Arial"/>
                <w:color w:val="000000"/>
                <w:sz w:val="18"/>
                <w:szCs w:val="18"/>
                <w:vertAlign w:val="subscript"/>
              </w:rPr>
              <w:t xml:space="preserve">cth</w:t>
            </w:r>
            <w:r>
              <w:rPr>
                <w:rFonts w:ascii="Arial" w:hAnsi="Arial" w:cs="Arial"/>
                <w:color w:val="000000"/>
                <w:sz w:val="18"/>
                <w:szCs w:val="18"/>
              </w:rPr>
              <w:t xml:space="preserve">(%) = 150%, tuomet: I</w:t>
            </w:r>
            <w:r>
              <w:rPr>
                <w:rFonts w:ascii="Arial" w:hAnsi="Arial" w:cs="Arial"/>
                <w:color w:val="000000"/>
                <w:sz w:val="18"/>
                <w:szCs w:val="18"/>
                <w:vertAlign w:val="subscript"/>
              </w:rPr>
              <w:t xml:space="preserve">cth</w:t>
            </w:r>
            <w:r>
              <w:rPr>
                <w:rFonts w:ascii="Arial" w:hAnsi="Arial" w:cs="Arial"/>
                <w:color w:val="000000"/>
                <w:sz w:val="18"/>
                <w:szCs w:val="18"/>
              </w:rPr>
              <w:t xml:space="preserve">(A) = 300A x 150% = 450A/</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Rated continuous thermal current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 shall be selected during the preparation of the technical project using formulae: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(A) = I</w:t>
            </w:r>
            <w:r>
              <w:rPr>
                <w:rFonts w:ascii="Arial" w:hAnsi="Arial" w:cs="Arial"/>
                <w:color w:val="000000"/>
                <w:sz w:val="18"/>
                <w:szCs w:val="18"/>
                <w:vertAlign w:val="subscript"/>
                <w:lang w:val="en-US"/>
              </w:rPr>
              <w:t xml:space="preserve">pr</w:t>
            </w:r>
            <w:r>
              <w:rPr>
                <w:rFonts w:ascii="Arial" w:hAnsi="Arial" w:cs="Arial"/>
                <w:color w:val="000000"/>
                <w:sz w:val="18"/>
                <w:szCs w:val="18"/>
                <w:lang w:val="en-US"/>
              </w:rPr>
              <w:t xml:space="preserve">(A) x </w:t>
            </w:r>
            <w:r>
              <w:rPr>
                <w:rFonts w:ascii="Arial" w:hAnsi="Arial" w:cs="Arial"/>
                <w:color w:val="000000"/>
                <w:sz w:val="18"/>
                <w:szCs w:val="18"/>
                <w:lang w:val="en-US"/>
              </w:rPr>
              <w:t xml:space="preserve">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w:t>
            </w:r>
            <w:r>
              <w:rPr>
                <w:rFonts w:ascii="Arial" w:hAnsi="Arial" w:cs="Arial"/>
                <w:color w:val="000000"/>
                <w:sz w:val="18"/>
                <w:szCs w:val="18"/>
                <w:lang w:val="en-US"/>
              </w:rPr>
              <w:t xml:space="preserve">%), where:</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(A) – value of rated continuous thermal in </w:t>
            </w:r>
            <w:r>
              <w:rPr>
                <w:rFonts w:ascii="Arial" w:hAnsi="Arial" w:cs="Arial"/>
                <w:color w:val="000000"/>
                <w:sz w:val="18"/>
                <w:szCs w:val="18"/>
                <w:lang w:val="en-US"/>
              </w:rPr>
              <w:t xml:space="preserve">amps;</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I</w:t>
            </w:r>
            <w:r>
              <w:rPr>
                <w:rFonts w:ascii="Arial" w:hAnsi="Arial" w:cs="Arial"/>
                <w:color w:val="000000"/>
                <w:sz w:val="18"/>
                <w:szCs w:val="18"/>
                <w:vertAlign w:val="subscript"/>
                <w:lang w:val="en-US"/>
              </w:rPr>
              <w:t xml:space="preserve">pr</w:t>
            </w:r>
            <w:r>
              <w:rPr>
                <w:rFonts w:ascii="Arial" w:hAnsi="Arial" w:cs="Arial"/>
                <w:color w:val="000000"/>
                <w:sz w:val="18"/>
                <w:szCs w:val="18"/>
                <w:lang w:val="en-US"/>
              </w:rPr>
              <w:t xml:space="preserve">(A) – value of rated primary current in </w:t>
            </w:r>
            <w:r>
              <w:rPr>
                <w:rFonts w:ascii="Arial" w:hAnsi="Arial" w:cs="Arial"/>
                <w:color w:val="000000"/>
                <w:sz w:val="18"/>
                <w:szCs w:val="18"/>
                <w:lang w:val="en-US"/>
              </w:rPr>
              <w:t xml:space="preserve">amps;</w:t>
            </w:r>
          </w:p>
          <w:p>
            <w:pPr>
              <w:spacing/>
              <w:jc w:val="both"/>
              <w:rPr>
                <w:rFonts w:ascii="Arial" w:hAnsi="Arial" w:cs="Arial"/>
                <w:color w:val="000000"/>
                <w:sz w:val="18"/>
                <w:szCs w:val="18"/>
                <w:lang w:val="en-US"/>
              </w:rPr>
            </w:pPr>
            <w:r>
              <w:rPr>
                <w:rFonts w:ascii="Arial" w:hAnsi="Arial" w:cs="Arial"/>
                <w:color w:val="000000"/>
                <w:sz w:val="18"/>
                <w:szCs w:val="18"/>
              </w:rPr>
              <w:t xml:space="preserve">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 – value of rated continuous thermal current in percent of rated primary current. E.g. I</w:t>
            </w:r>
            <w:r>
              <w:rPr>
                <w:rFonts w:ascii="Arial" w:hAnsi="Arial" w:cs="Arial"/>
                <w:color w:val="000000"/>
                <w:sz w:val="18"/>
                <w:szCs w:val="18"/>
                <w:vertAlign w:val="subscript"/>
                <w:lang w:val="en-US"/>
              </w:rPr>
              <w:t xml:space="preserve">pr</w:t>
            </w:r>
            <w:r>
              <w:rPr>
                <w:rFonts w:ascii="Arial" w:hAnsi="Arial" w:cs="Arial"/>
                <w:color w:val="000000"/>
                <w:sz w:val="18"/>
                <w:szCs w:val="18"/>
                <w:lang w:val="en-US"/>
              </w:rPr>
              <w:t xml:space="preserve">(A) = 300A, </w:t>
            </w:r>
            <w:r>
              <w:rPr>
                <w:rFonts w:ascii="Arial" w:hAnsi="Arial" w:cs="Arial"/>
                <w:color w:val="000000"/>
                <w:sz w:val="18"/>
                <w:szCs w:val="18"/>
                <w:lang w:val="en-US"/>
              </w:rPr>
              <w:t xml:space="preserve">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w:t>
            </w:r>
            <w:r>
              <w:rPr>
                <w:rFonts w:ascii="Arial" w:hAnsi="Arial" w:cs="Arial"/>
                <w:color w:val="000000"/>
                <w:sz w:val="18"/>
                <w:szCs w:val="18"/>
                <w:lang w:val="en-US"/>
              </w:rPr>
              <w:t xml:space="preserve">%) = 150%, then: I</w:t>
            </w:r>
            <w:r>
              <w:rPr>
                <w:rFonts w:ascii="Arial" w:hAnsi="Arial" w:cs="Arial"/>
                <w:color w:val="000000"/>
                <w:sz w:val="18"/>
                <w:szCs w:val="18"/>
                <w:vertAlign w:val="subscript"/>
                <w:lang w:val="en-US"/>
              </w:rPr>
              <w:t xml:space="preserve">cth</w:t>
            </w:r>
            <w:r>
              <w:rPr>
                <w:rFonts w:ascii="Arial" w:hAnsi="Arial" w:cs="Arial"/>
                <w:color w:val="000000"/>
                <w:sz w:val="18"/>
                <w:szCs w:val="18"/>
                <w:lang w:val="en-US"/>
              </w:rPr>
              <w:t xml:space="preserve">(A) = 300A x 150% = 450A.</w:t>
            </w:r>
          </w:p>
          <w:p>
            <w:pPr>
              <w:autoSpaceDE w:val="false"/>
              <w:autoSpaceDN w:val="false"/>
              <w:adjustRightInd w:val="false"/>
              <w:spacing w:before="240"/>
              <w:jc w:val="both"/>
              <w:rPr>
                <w:rFonts w:ascii="Arial" w:hAnsi="Arial" w:cs="Arial"/>
                <w:b/>
                <w:color w:val="000000"/>
                <w:sz w:val="18"/>
                <w:szCs w:val="18"/>
                <w:lang w:val="en-US"/>
              </w:rPr>
            </w:pPr>
            <w:r>
              <w:rPr>
                <w:rFonts w:ascii="Arial" w:hAnsi="Arial" w:cs="Arial"/>
                <w:b/>
                <w:color w:val="000000"/>
                <w:sz w:val="18"/>
                <w:szCs w:val="18"/>
              </w:rPr>
              <w:t xml:space="preserve">Rangovo teikiama dokumentacija reikalaujamo parametro atitikimo pagrindimui:/ </w:t>
            </w:r>
            <w:r>
              <w:rPr>
                <w:rFonts w:ascii="Arial" w:hAnsi="Arial"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Arial" w:hAnsi="Arial" w:cs="Arial"/>
                <w:color w:val="000000"/>
                <w:sz w:val="18"/>
                <w:szCs w:val="18"/>
                <w:lang w:val="en-US"/>
              </w:rPr>
            </w:pPr>
            <w:bookmarkStart w:id="4" w:name="_Hlk529432926"/>
            <w:bookmarkStart w:id="5" w:name="_Hlk529432941"/>
            <w:r>
              <w:rPr>
                <w:rFonts w:ascii="Arial" w:hAnsi="Arial"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4"/>
            <w:r>
              <w:rPr>
                <w:rFonts w:ascii="Arial" w:hAnsi="Arial" w:cs="Arial"/>
                <w:color w:val="000000"/>
                <w:sz w:val="18"/>
                <w:szCs w:val="18"/>
              </w:rPr>
              <w:t xml:space="preserve">/ </w:t>
            </w:r>
            <w:r>
              <w:rPr>
                <w:rFonts w:ascii="Arial" w:hAnsi="Arial" w:cs="Arial"/>
                <w:color w:val="000000"/>
                <w:sz w:val="18"/>
                <w:szCs w:val="18"/>
                <w:lang w:val="en-US"/>
              </w:rPr>
              <w:t xml:space="preserve">Manufacturer‘</w:t>
            </w:r>
            <w:r>
              <w:rPr>
                <w:rFonts w:ascii="Arial" w:hAnsi="Arial" w:cs="Arial"/>
                <w:color w:val="000000"/>
                <w:sz w:val="18"/>
                <w:szCs w:val="18"/>
                <w:lang w:val="en-US"/>
              </w:rPr>
              <w:t xml:space="preserve">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5"/>
            <w:r>
              <w:rPr>
                <w:rFonts w:ascii="Arial" w:hAnsi="Arial" w:cs="Arial"/>
                <w:color w:val="000000"/>
                <w:sz w:val="18"/>
                <w:szCs w:val="18"/>
                <w:lang w:val="en-US"/>
              </w:rPr>
              <w:t xml:space="preserve">.</w:t>
            </w:r>
          </w:p>
          <w:p>
            <w:pPr>
              <w:autoSpaceDE w:val="false"/>
              <w:autoSpaceDN w:val="false"/>
              <w:adjustRightInd w:val="false"/>
              <w:spacing/>
              <w:jc w:val="both"/>
              <w:rPr>
                <w:rFonts w:ascii="Arial" w:hAnsi="Arial" w:cs="Arial"/>
                <w:color w:val="000000"/>
                <w:sz w:val="18"/>
                <w:szCs w:val="18"/>
                <w:lang w:val="en-US"/>
              </w:rPr>
            </w:pPr>
            <w:r>
              <w:rPr>
                <w:rFonts w:ascii="Arial" w:hAnsi="Arial" w:cs="Arial"/>
                <w:color w:val="000000"/>
                <w:sz w:val="18"/>
                <w:szCs w:val="18"/>
              </w:rPr>
              <w:t xml:space="preserve">b) Sertifikato kopija/ </w:t>
            </w:r>
            <w:r>
              <w:rPr>
                <w:rFonts w:ascii="Arial" w:hAnsi="Arial" w:cs="Arial"/>
                <w:color w:val="000000"/>
                <w:sz w:val="18"/>
                <w:szCs w:val="18"/>
                <w:lang w:val="en-US"/>
              </w:rPr>
              <w:t xml:space="preserve">Copy of the certificate.</w:t>
            </w:r>
          </w:p>
          <w:p>
            <w:pPr>
              <w:spacing/>
              <w:jc w:val="both"/>
              <w:rPr>
                <w:rFonts w:ascii="Arial" w:hAnsi="Arial" w:cs="Arial"/>
                <w:color w:val="000000"/>
                <w:sz w:val="18"/>
                <w:szCs w:val="18"/>
                <w:lang w:val="en-US"/>
              </w:rPr>
            </w:pPr>
            <w:r>
              <w:rPr>
                <w:rFonts w:ascii="Arial" w:hAnsi="Arial" w:cs="Arial"/>
                <w:color w:val="000000"/>
                <w:sz w:val="18"/>
                <w:szCs w:val="18"/>
              </w:rPr>
              <w:t xml:space="preserve">c) Konkrečiam objektui (pirkimui) pateiktas Gamintojo pasiūlymo dokumentas (techninių parametrų suvestinė)/ </w:t>
            </w:r>
            <w:r>
              <w:rPr>
                <w:rFonts w:ascii="Arial" w:hAnsi="Arial" w:cs="Arial"/>
                <w:color w:val="000000"/>
                <w:sz w:val="18"/>
                <w:szCs w:val="18"/>
                <w:lang w:val="en-US"/>
              </w:rPr>
              <w:t xml:space="preserve">Official quotation document (summary of technical parameters) for exact object (procurement).</w:t>
            </w:r>
          </w:p>
          <w:p>
            <w:pPr>
              <w:spacing/>
              <w:jc w:val="both"/>
              <w:rPr>
                <w:rFonts w:ascii="Arial" w:hAnsi="Arial" w:cs="Arial"/>
                <w:bCs/>
                <w:color w:val="000000"/>
                <w:sz w:val="18"/>
                <w:szCs w:val="18"/>
              </w:rPr>
            </w:pPr>
            <w:r>
              <w:rPr>
                <w:rFonts w:ascii="Arial" w:hAnsi="Arial" w:cs="Arial"/>
                <w:bCs/>
                <w:color w:val="000000"/>
                <w:sz w:val="18"/>
                <w:szCs w:val="18"/>
              </w:rPr>
              <w:t xml:space="preserve">d) </w:t>
            </w:r>
            <w:r>
              <w:rPr>
                <w:rFonts w:ascii="Arial" w:hAnsi="Arial" w:cs="Arial"/>
                <w:color w:val="000000"/>
                <w:sz w:val="18"/>
                <w:szCs w:val="18"/>
              </w:rPr>
              <w:t xml:space="preserve">Dokumentai pagal vieną iš žemiau pateiktų variantų:/ </w:t>
            </w:r>
            <w:r>
              <w:rPr>
                <w:rFonts w:ascii="Arial" w:hAnsi="Arial" w:cs="Arial"/>
                <w:color w:val="000000"/>
                <w:sz w:val="18"/>
                <w:szCs w:val="18"/>
                <w:lang w:val="en-US"/>
              </w:rPr>
              <w:t xml:space="preserve">Documents according to one of the options below:</w:t>
            </w:r>
          </w:p>
          <w:p>
            <w:pPr>
              <w:pStyle w:val="BodyTextIndent2"/>
              <w:numPr>
                <w:ilvl w:val="0"/>
                <w:numId w:val="14"/>
              </w:numPr>
              <w:spacing/>
              <w:rPr>
                <w:rFonts w:ascii="Arial" w:hAnsi="Arial" w:cs="Arial"/>
                <w:color w:val="000000"/>
                <w:sz w:val="18"/>
                <w:szCs w:val="18"/>
                <w:lang w:val="en-GB"/>
              </w:rPr>
            </w:pPr>
            <w:r>
              <w:rPr>
                <w:rFonts w:ascii="Arial" w:hAnsi="Arial" w:cs="Arial"/>
                <w:color w:val="000000"/>
                <w:sz w:val="18"/>
                <w:szCs w:val="18"/>
              </w:rPr>
              <w:t xml:space="preserve">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Pr>
                <w:rFonts w:ascii="Arial" w:hAnsi="Arial" w:cs="Arial"/>
                <w:color w:val="000000"/>
                <w:sz w:val="18"/>
                <w:szCs w:val="18"/>
              </w:rPr>
              <w:t xml:space="preserve"> </w:t>
            </w:r>
            <w:r>
              <w:rPr>
                <w:rFonts w:ascii="Arial" w:hAnsi="Arial" w:cs="Arial"/>
                <w:color w:val="000000"/>
                <w:sz w:val="18"/>
                <w:szCs w:val="18"/>
                <w:lang w:val="en-GB"/>
              </w:rPr>
              <w:t xml:space="preserve">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pPr>
              <w:pStyle w:val="BodyTextIndent2"/>
              <w:numPr>
                <w:ilvl w:val="0"/>
                <w:numId w:val="14"/>
              </w:numPr>
              <w:spacing/>
              <w:rPr>
                <w:rFonts w:ascii="Arial" w:hAnsi="Arial" w:cs="Arial"/>
                <w:color w:val="000000"/>
                <w:sz w:val="18"/>
                <w:szCs w:val="18"/>
                <w:lang w:val="en-GB"/>
              </w:rPr>
            </w:pPr>
            <w:r>
              <w:rPr>
                <w:rFonts w:ascii="Arial" w:hAnsi="Arial" w:cs="Arial"/>
                <w:color w:val="000000"/>
                <w:sz w:val="18"/>
                <w:szCs w:val="18"/>
              </w:rPr>
              <w:t xml:space="preserve">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Pr>
                <w:rFonts w:ascii="Arial" w:hAnsi="Arial" w:cs="Arial"/>
                <w:color w:val="000000"/>
                <w:sz w:val="18"/>
                <w:szCs w:val="18"/>
              </w:rPr>
              <w:t xml:space="preserve">./ </w:t>
            </w:r>
            <w:r>
              <w:rPr>
                <w:rFonts w:ascii="Arial" w:hAnsi="Arial" w:cs="Arial"/>
                <w:color w:val="000000"/>
                <w:sz w:val="18"/>
                <w:szCs w:val="18"/>
                <w:lang w:val="en-GB"/>
              </w:rPr>
              <w:t xml:space="preserve">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w:t>
            </w:r>
            <w:r>
              <w:rPr>
                <w:rFonts w:ascii="Arial" w:hAnsi="Arial" w:cs="Arial"/>
                <w:color w:val="000000"/>
                <w:sz w:val="18"/>
                <w:szCs w:val="18"/>
                <w:lang w:val="en-GB"/>
              </w:rPr>
              <w:t xml:space="preserve">certification) that proves Certification Body compliance with ISO/IEC 17065 (or equivalent standard). Certification Body shall be accredited according to ISO/IEC 17065 (or equivalent) standard when issue requirements justifying certificate.</w:t>
            </w:r>
          </w:p>
          <w:p>
            <w:pPr>
              <w:pStyle w:val="ListParagraph"/>
              <w:numPr>
                <w:ilvl w:val="0"/>
                <w:numId w:val="14"/>
              </w:numPr>
              <w:spacing/>
              <w:jc w:val="both"/>
              <w:rPr>
                <w:rFonts w:ascii="Arial" w:hAnsi="Arial" w:cs="Arial"/>
                <w:bCs/>
                <w:color w:val="000000"/>
                <w:sz w:val="18"/>
                <w:szCs w:val="18"/>
                <w:lang w:val="en-US"/>
              </w:rPr>
            </w:pPr>
            <w:r>
              <w:rPr>
                <w:rFonts w:ascii="Arial" w:hAnsi="Arial" w:cs="Arial"/>
                <w:color w:val="000000"/>
                <w:sz w:val="18"/>
                <w:szCs w:val="18"/>
              </w:rPr>
              <w:t xml:space="preserve">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Pr>
                <w:rFonts w:ascii="Arial" w:hAnsi="Arial" w:cs="Arial"/>
                <w:color w:val="000000"/>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Pr>
                <w:rFonts w:ascii="Arial" w:hAnsi="Arial" w:cs="Arial"/>
                <w:color w:val="000000"/>
                <w:sz w:val="18"/>
                <w:szCs w:val="18"/>
              </w:rPr>
              <w:t xml:space="preserve">ISO/IEC </w:t>
            </w:r>
            <w:r>
              <w:rPr>
                <w:rFonts w:ascii="Arial" w:hAnsi="Arial" w:cs="Arial"/>
                <w:color w:val="000000"/>
                <w:sz w:val="18"/>
                <w:szCs w:val="18"/>
                <w:lang w:val="en-GB"/>
              </w:rPr>
              <w:t xml:space="preserve">17020 (type A) or equivalent standard, thus contractor shall provide this institution certification accreditation copy. Institution accreditation shall be valid during type test performance.</w:t>
            </w:r>
          </w:p>
          <w:p>
            <w:pPr>
              <w:spacing/>
              <w:jc w:val="both"/>
              <w:rPr>
                <w:rFonts w:ascii="Arial" w:hAnsi="Arial" w:cs="Arial"/>
                <w:bCs/>
                <w:color w:val="000000"/>
                <w:sz w:val="18"/>
                <w:szCs w:val="18"/>
              </w:rPr>
            </w:pPr>
            <w:r>
              <w:rPr>
                <w:rFonts w:ascii="Arial" w:hAnsi="Arial" w:cs="Arial"/>
                <w:bCs/>
                <w:color w:val="000000"/>
                <w:sz w:val="18"/>
                <w:szCs w:val="18"/>
              </w:rPr>
              <w:t xml:space="preserve">e) Specialiųjų bandymų, atliktų Gamintojo laboratorijoje protokolo kopija/ </w:t>
            </w:r>
            <w:r>
              <w:rPr>
                <w:rFonts w:ascii="Arial" w:hAnsi="Arial" w:cs="Arial"/>
                <w:bCs/>
                <w:color w:val="000000"/>
                <w:sz w:val="18"/>
                <w:szCs w:val="18"/>
                <w:lang w:val="en-US"/>
              </w:rPr>
              <w:t xml:space="preserve">Copy of special test report issued by Manufacturers laboratory.</w:t>
            </w:r>
          </w:p>
          <w:p>
            <w:pPr>
              <w:spacing/>
              <w:rPr>
                <w:rFonts w:ascii="Arial" w:hAnsi="Arial" w:cs="Arial"/>
                <w:b/>
                <w:bCs/>
                <w:color w:val="000000"/>
                <w:sz w:val="18"/>
                <w:szCs w:val="18"/>
              </w:rPr>
            </w:pPr>
          </w:p>
          <w:p>
            <w:pPr>
              <w:spacing/>
              <w:rPr>
                <w:rFonts w:ascii="Arial" w:hAnsi="Arial" w:cs="Arial"/>
                <w:sz w:val="18"/>
                <w:szCs w:val="18"/>
              </w:rPr>
            </w:pPr>
            <w:r>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Pr>
                <w:rStyle w:val="tlid-translation"/>
                <w:rFonts w:ascii="Arial" w:hAnsi="Arial" w:cs="Arial"/>
                <w:b/>
                <w:bCs/>
                <w:sz w:val="18"/>
                <w:szCs w:val="18"/>
                <w:lang w:val="en"/>
              </w:rPr>
              <w:t xml:space="preserve">Specifications for current, voltage and combined instrument transformers with individual characteristics shall be drawn up in accordance with the examples of specifications provided in annexes 1, 2, and 3 of these requirements.</w:t>
            </w:r>
          </w:p>
        </w:tc>
      </w:tr>
    </w:tbl>
    <w:p w14:paraId="271E0849">
      <w:pPr>
        <w:spacing w:after="160" w:line="259" w:lineRule="auto"/>
        <w:rPr>
          <w:rFonts w:ascii="Arial" w:hAnsi="Arial" w:cs="Arial"/>
        </w:rPr>
      </w:pPr>
      <w:r>
        <w:rPr>
          <w:rFonts w:ascii="Arial" w:hAnsi="Arial" w:cs="Arial"/>
        </w:rPr>
        <w:br w:type="page"/>
      </w:r>
    </w:p>
    <w:p w14:paraId="46309822">
      <w:pPr>
        <w:pStyle w:val="Header"/>
        <w:spacing/>
        <w:jc w:val="right"/>
        <w:rPr>
          <w:rFonts w:ascii="Arial" w:hAnsi="Arial" w:cs="Arial"/>
          <w:sz w:val="18"/>
          <w:szCs w:val="18"/>
        </w:rPr>
      </w:pPr>
      <w:r>
        <w:rPr>
          <w:rFonts w:ascii="Arial" w:hAnsi="Arial" w:cs="Arial"/>
          <w:sz w:val="18"/>
          <w:szCs w:val="18"/>
        </w:rPr>
        <w:t xml:space="preserve">1 priedas. Srovės matavimo transformatorių specifikacijos pavyzdys/</w:t>
      </w:r>
    </w:p>
    <w:p w14:paraId="5149325B">
      <w:pPr>
        <w:pStyle w:val="Header"/>
        <w:spacing/>
        <w:jc w:val="right"/>
        <w:rPr>
          <w:rFonts w:ascii="Arial" w:hAnsi="Arial" w:cs="Arial"/>
          <w:sz w:val="18"/>
          <w:szCs w:val="18"/>
          <w:lang w:val="en-US"/>
        </w:rPr>
      </w:pPr>
      <w:r>
        <w:rPr>
          <w:rFonts w:ascii="Arial" w:hAnsi="Arial" w:cs="Arial"/>
          <w:sz w:val="18"/>
          <w:szCs w:val="18"/>
          <w:lang w:val="en-US"/>
        </w:rPr>
        <w:t xml:space="preserve">Annex 1. Example of specifications for current instrument transformers</w:t>
      </w:r>
    </w:p>
    <w:p w14:paraId="001DBD61">
      <w:pPr>
        <w:pStyle w:val="Header"/>
        <w:spacing/>
        <w:jc w:val="right"/>
        <w:rPr>
          <w:rFonts w:ascii="Arial" w:hAnsi="Arial" w:cs="Arial"/>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3687"/>
        <w:gridCol w:w="3687"/>
        <w:gridCol w:w="3687"/>
        <w:gridCol w:w="2406"/>
        <w:gridCol w:w="991"/>
      </w:tblGrid>
      <w:tr>
        <w:trPr>
          <w:cantSplit/>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cantSplit/>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cantSplit/>
          <w:trHeight w:val="418" w:hRule="atLeast"/>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Nr.</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Kiekis vienfaziais vienetais, vnt./</w:t>
            </w:r>
          </w:p>
          <w:p>
            <w:pPr>
              <w:spacing/>
              <w:rPr>
                <w:rFonts w:ascii="Arial" w:hAnsi="Arial" w:cs="Arial"/>
                <w:sz w:val="18"/>
                <w:szCs w:val="18"/>
              </w:rPr>
            </w:pPr>
            <w:r>
              <w:rPr>
                <w:rFonts w:ascii="Arial" w:hAnsi="Arial" w:cs="Arial"/>
                <w:sz w:val="18"/>
                <w:szCs w:val="18"/>
                <w:lang w:val="en-US"/>
              </w:rPr>
              <w:t xml:space="preserve">Quantity in one-phase units, pcs.</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Vardinė trumpalaikė (≥1s) terminė srovė/ </w:t>
            </w:r>
            <w:r>
              <w:rPr>
                <w:rFonts w:ascii="Arial" w:hAnsi="Arial" w:cs="Arial"/>
                <w:sz w:val="18"/>
                <w:szCs w:val="18"/>
                <w:lang w:val="en-US"/>
              </w:rPr>
              <w:t xml:space="preserve">Rated short-time (≥1s) thermal current, (I</w:t>
            </w:r>
            <w:r>
              <w:rPr>
                <w:rFonts w:ascii="Arial" w:hAnsi="Arial" w:cs="Arial"/>
                <w:sz w:val="18"/>
                <w:szCs w:val="18"/>
                <w:vertAlign w:val="subscript"/>
                <w:lang w:val="en-US"/>
              </w:rPr>
              <w:t xml:space="preserve">th</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 </w:t>
            </w:r>
            <w:r>
              <w:rPr>
                <w:rFonts w:ascii="Arial" w:hAnsi="Arial" w:cs="Arial"/>
                <w:bCs/>
                <w:sz w:val="18"/>
                <w:szCs w:val="18"/>
              </w:rPr>
              <w:t xml:space="preserve">40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Vardinė dinaminė srovė/ </w:t>
            </w:r>
          </w:p>
          <w:p>
            <w:pPr>
              <w:spacing/>
              <w:rPr>
                <w:rFonts w:ascii="Arial" w:hAnsi="Arial" w:cs="Arial"/>
                <w:sz w:val="18"/>
                <w:szCs w:val="18"/>
              </w:rPr>
            </w:pPr>
            <w:r>
              <w:rPr>
                <w:rFonts w:ascii="Arial" w:hAnsi="Arial" w:cs="Arial"/>
                <w:sz w:val="18"/>
                <w:szCs w:val="18"/>
                <w:lang w:val="en-US"/>
              </w:rPr>
              <w:t xml:space="preserve">Rated dynamic current (I</w:t>
            </w:r>
            <w:r>
              <w:rPr>
                <w:rFonts w:ascii="Arial" w:hAnsi="Arial" w:cs="Arial"/>
                <w:sz w:val="18"/>
                <w:szCs w:val="18"/>
                <w:vertAlign w:val="subscript"/>
                <w:lang w:val="en-US"/>
              </w:rPr>
              <w:t xml:space="preserve">dyn</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rPr>
              <w:t xml:space="preserve">100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pageBreakBefore/>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Vardinė pirminė srovė turi būti parenkama iš standartinių verčių arba jų dešimtainių daugiklių pagal IEC 61869-2 punktą 5.201/</w:t>
            </w:r>
          </w:p>
          <w:p>
            <w:pPr>
              <w:spacing/>
              <w:rPr>
                <w:rFonts w:ascii="Arial" w:hAnsi="Arial" w:cs="Arial"/>
                <w:sz w:val="18"/>
                <w:szCs w:val="18"/>
              </w:rPr>
            </w:pPr>
            <w:r>
              <w:rPr>
                <w:rFonts w:ascii="Arial" w:hAnsi="Arial" w:cs="Arial"/>
                <w:sz w:val="18"/>
                <w:szCs w:val="18"/>
                <w:lang w:val="en-US"/>
              </w:rPr>
              <w:t xml:space="preserve">Rated primary current shall be chosen of standard values and their decimal multiplies according to IEC 61869-2 clause 5.201, (I</w:t>
            </w:r>
            <w:r>
              <w:rPr>
                <w:rFonts w:ascii="Arial" w:hAnsi="Arial" w:cs="Arial"/>
                <w:sz w:val="18"/>
                <w:szCs w:val="18"/>
                <w:vertAlign w:val="subscript"/>
                <w:lang w:val="en-US"/>
              </w:rPr>
              <w:t xml:space="preserve">pr</w:t>
            </w:r>
            <w:r>
              <w:rPr>
                <w:rFonts w:ascii="Arial" w:hAnsi="Arial" w:cs="Arial"/>
                <w:sz w:val="18"/>
                <w:szCs w:val="18"/>
                <w:lang w:val="en-US"/>
              </w:rPr>
              <w:t xml:space="preserve">), A </w:t>
            </w:r>
            <w:r>
              <w:rPr>
                <w:rFonts w:ascii="Arial" w:hAnsi="Arial" w:cs="Arial"/>
                <w:sz w:val="18"/>
                <w:szCs w:val="18"/>
                <w:vertAlign w:val="superscript"/>
                <w:lang w:val="en-US"/>
              </w:rPr>
              <w:t xml:space="preserve">5</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sz w:val="18"/>
                <w:szCs w:val="18"/>
                <w:u w:val="single"/>
              </w:rPr>
              <w:t xml:space="preserve">10</w:t>
            </w:r>
            <w:r>
              <w:rPr>
                <w:rFonts w:ascii="Arial" w:hAnsi="Arial" w:cs="Arial"/>
                <w:sz w:val="18"/>
                <w:szCs w:val="18"/>
              </w:rPr>
              <w:t xml:space="preserve">-12,5-</w:t>
            </w:r>
            <w:r>
              <w:rPr>
                <w:rFonts w:ascii="Arial" w:hAnsi="Arial" w:cs="Arial"/>
                <w:sz w:val="18"/>
                <w:szCs w:val="18"/>
                <w:u w:val="single"/>
              </w:rPr>
              <w:t xml:space="preserve">15</w:t>
            </w:r>
            <w:r>
              <w:rPr>
                <w:rFonts w:ascii="Arial" w:hAnsi="Arial" w:cs="Arial"/>
                <w:sz w:val="18"/>
                <w:szCs w:val="18"/>
              </w:rPr>
              <w:t xml:space="preserve">-</w:t>
            </w:r>
            <w:r>
              <w:rPr>
                <w:rFonts w:ascii="Arial" w:hAnsi="Arial" w:cs="Arial"/>
                <w:sz w:val="18"/>
                <w:szCs w:val="18"/>
                <w:u w:val="single"/>
              </w:rPr>
              <w:t xml:space="preserve">20</w:t>
            </w:r>
            <w:r>
              <w:rPr>
                <w:rFonts w:ascii="Arial" w:hAnsi="Arial" w:cs="Arial"/>
                <w:sz w:val="18"/>
                <w:szCs w:val="18"/>
              </w:rPr>
              <w:t xml:space="preserve">-25-</w:t>
            </w:r>
            <w:r>
              <w:rPr>
                <w:rFonts w:ascii="Arial" w:hAnsi="Arial" w:cs="Arial"/>
                <w:sz w:val="18"/>
                <w:szCs w:val="18"/>
                <w:u w:val="single"/>
              </w:rPr>
              <w:t xml:space="preserve">30</w:t>
            </w:r>
            <w:r>
              <w:rPr>
                <w:rFonts w:ascii="Arial" w:hAnsi="Arial" w:cs="Arial"/>
                <w:sz w:val="18"/>
                <w:szCs w:val="18"/>
              </w:rPr>
              <w:t xml:space="preserve">-40-</w:t>
            </w:r>
            <w:r>
              <w:rPr>
                <w:rFonts w:ascii="Arial" w:hAnsi="Arial" w:cs="Arial"/>
                <w:sz w:val="18"/>
                <w:szCs w:val="18"/>
                <w:u w:val="single"/>
              </w:rPr>
              <w:t xml:space="preserve">50</w:t>
            </w:r>
            <w:r>
              <w:rPr>
                <w:rFonts w:ascii="Arial" w:hAnsi="Arial" w:cs="Arial"/>
                <w:sz w:val="18"/>
                <w:szCs w:val="18"/>
              </w:rPr>
              <w:t xml:space="preserve">-60-</w:t>
            </w:r>
            <w:r>
              <w:rPr>
                <w:rFonts w:ascii="Arial" w:hAnsi="Arial" w:cs="Arial"/>
                <w:sz w:val="18"/>
                <w:szCs w:val="18"/>
                <w:u w:val="single"/>
              </w:rPr>
              <w:t xml:space="preserve">75</w:t>
            </w:r>
            <w:r>
              <w:rPr>
                <w:rFonts w:ascii="Arial" w:hAnsi="Arial" w:cs="Arial"/>
                <w:sz w:val="18"/>
                <w:szCs w:val="18"/>
              </w:rPr>
              <w:t xml:space="preserve"> </w:t>
            </w:r>
            <w:r>
              <w:rPr>
                <w:rFonts w:ascii="Arial" w:hAnsi="Arial" w:cs="Arial"/>
                <w:sz w:val="18"/>
                <w:szCs w:val="18"/>
                <w:vertAlign w:val="superscript"/>
              </w:rPr>
              <w:t xml:space="preserve">c</w:t>
            </w:r>
            <w:r>
              <w:rPr>
                <w:rFonts w:ascii="Arial" w:hAnsi="Arial" w:cs="Arial"/>
                <w:bCs/>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vAlign w:val="center"/>
          </w:tcPr>
          <w:p>
            <w:pPr>
              <w:spacing/>
              <w:rPr>
                <w:rFonts w:ascii="Arial" w:hAnsi="Arial" w:cs="Arial"/>
                <w:sz w:val="18"/>
                <w:szCs w:val="18"/>
              </w:rPr>
            </w:pPr>
            <w:r>
              <w:rPr>
                <w:rFonts w:ascii="Arial" w:hAnsi="Arial" w:cs="Arial"/>
                <w:sz w:val="18"/>
                <w:szCs w:val="18"/>
              </w:rPr>
              <w:t xml:space="preserve">Vardinė ilgalaikė terminė srovė procentais nuo I</w:t>
            </w:r>
            <w:r>
              <w:rPr>
                <w:rFonts w:ascii="Arial" w:hAnsi="Arial" w:cs="Arial"/>
                <w:sz w:val="18"/>
                <w:szCs w:val="18"/>
                <w:vertAlign w:val="subscript"/>
              </w:rPr>
              <w:t xml:space="preserve">pr</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Rated continuous thermal current in percent of I</w:t>
            </w:r>
            <w:r>
              <w:rPr>
                <w:rFonts w:ascii="Arial" w:hAnsi="Arial" w:cs="Arial"/>
                <w:sz w:val="18"/>
                <w:szCs w:val="18"/>
                <w:vertAlign w:val="subscript"/>
                <w:lang w:val="en-US"/>
              </w:rPr>
              <w:t xml:space="preserve">pr</w:t>
            </w:r>
            <w:r>
              <w:rPr>
                <w:rFonts w:ascii="Arial" w:hAnsi="Arial" w:cs="Arial"/>
                <w:sz w:val="18"/>
                <w:szCs w:val="18"/>
                <w:lang w:val="en-US"/>
              </w:rPr>
              <w:t xml:space="preserve">, (I</w:t>
            </w:r>
            <w:r>
              <w:rPr>
                <w:rFonts w:ascii="Arial" w:hAnsi="Arial" w:cs="Arial"/>
                <w:sz w:val="18"/>
                <w:szCs w:val="18"/>
                <w:vertAlign w:val="subscript"/>
                <w:lang w:val="en-US"/>
              </w:rPr>
              <w:t xml:space="preserve">cth</w:t>
            </w:r>
            <w:r>
              <w:rPr>
                <w:rFonts w:ascii="Arial" w:hAnsi="Arial" w:cs="Arial"/>
                <w:sz w:val="18"/>
                <w:szCs w:val="18"/>
                <w:lang w:val="en-US"/>
              </w:rPr>
              <w:t xml:space="preserve">),</w:t>
            </w:r>
            <w:r>
              <w:rPr>
                <w:rFonts w:ascii="Arial" w:hAnsi="Arial" w:cs="Arial"/>
                <w:sz w:val="18"/>
                <w:szCs w:val="18"/>
                <w:lang w:val="en-US"/>
              </w:rPr>
              <w:t xml:space="preserve"> </w:t>
            </w:r>
            <w:r>
              <w:rPr>
                <w:rFonts w:ascii="Arial" w:hAnsi="Arial" w:cs="Arial"/>
                <w:sz w:val="18"/>
                <w:szCs w:val="18"/>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150</w:t>
            </w:r>
          </w:p>
          <w:p>
            <w:pPr>
              <w:spacing/>
              <w:jc w:val="center"/>
              <w:rPr>
                <w:rFonts w:ascii="Arial" w:hAnsi="Arial" w:cs="Arial"/>
                <w:sz w:val="18"/>
                <w:szCs w:val="18"/>
                <w:lang w:val="en-US"/>
              </w:rPr>
            </w:pPr>
            <w:r>
              <w:rPr>
                <w:rFonts w:ascii="Arial" w:hAnsi="Arial" w:cs="Arial"/>
                <w:sz w:val="18"/>
                <w:szCs w:val="18"/>
              </w:rPr>
              <w:t xml:space="preserve">arba/ </w:t>
            </w:r>
            <w:r>
              <w:rPr>
                <w:rFonts w:ascii="Arial" w:hAnsi="Arial" w:cs="Arial"/>
                <w:sz w:val="18"/>
                <w:szCs w:val="18"/>
                <w:lang w:val="en-US"/>
              </w:rPr>
              <w:t xml:space="preserve">or</w:t>
            </w:r>
          </w:p>
          <w:p>
            <w:pPr>
              <w:spacing/>
              <w:jc w:val="center"/>
              <w:rPr>
                <w:rFonts w:ascii="Arial" w:hAnsi="Arial" w:cs="Arial"/>
                <w:sz w:val="18"/>
                <w:szCs w:val="18"/>
              </w:rPr>
            </w:pPr>
            <w:r>
              <w:rPr>
                <w:rFonts w:ascii="Arial" w:hAnsi="Arial" w:cs="Arial"/>
                <w:sz w:val="18"/>
                <w:szCs w:val="18"/>
              </w:rPr>
              <w:t xml:space="preserve">200 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r>
              <w:rPr>
                <w:rFonts w:ascii="Arial" w:hAnsi="Arial" w:cs="Arial"/>
                <w:sz w:val="18"/>
                <w:szCs w:val="18"/>
              </w:rPr>
              <w:br w:type="page"/>
            </w:r>
          </w:p>
        </w:tc>
        <w:tc>
          <w:tcPr>
            <w:tcW w:type="dxa" w:w="3687"/>
            <w:tcBorders/>
            <w:vAlign w:val="center"/>
          </w:tcPr>
          <w:p>
            <w:pPr>
              <w:spacing/>
              <w:rPr>
                <w:rFonts w:ascii="Arial" w:hAnsi="Arial" w:cs="Arial"/>
                <w:sz w:val="18"/>
                <w:szCs w:val="18"/>
              </w:rPr>
            </w:pPr>
            <w:r>
              <w:rPr>
                <w:rFonts w:ascii="Arial" w:hAnsi="Arial" w:cs="Arial"/>
                <w:sz w:val="18"/>
                <w:szCs w:val="18"/>
              </w:rPr>
              <w:t xml:space="preserve">Vardinė ilgalaikė terminė srovė/</w:t>
            </w:r>
          </w:p>
          <w:p>
            <w:pPr>
              <w:spacing/>
              <w:rPr>
                <w:rFonts w:ascii="Arial" w:hAnsi="Arial" w:cs="Arial"/>
                <w:sz w:val="18"/>
                <w:szCs w:val="18"/>
              </w:rPr>
            </w:pPr>
            <w:r>
              <w:rPr>
                <w:rFonts w:ascii="Arial" w:hAnsi="Arial" w:cs="Arial"/>
                <w:sz w:val="18"/>
                <w:szCs w:val="18"/>
                <w:lang w:val="en-US"/>
              </w:rPr>
              <w:t xml:space="preserve">Rated continuous thermal current (I</w:t>
            </w:r>
            <w:r>
              <w:rPr>
                <w:rFonts w:ascii="Arial" w:hAnsi="Arial" w:cs="Arial"/>
                <w:sz w:val="18"/>
                <w:szCs w:val="18"/>
                <w:vertAlign w:val="subscript"/>
                <w:lang w:val="en-US"/>
              </w:rPr>
              <w:t xml:space="preserve">cth</w:t>
            </w:r>
            <w:r>
              <w:rPr>
                <w:rFonts w:ascii="Arial" w:hAnsi="Arial" w:cs="Arial"/>
                <w:sz w:val="18"/>
                <w:szCs w:val="18"/>
                <w:lang w:val="en-US"/>
              </w:rPr>
              <w:t xml:space="preserve">), A </w:t>
            </w:r>
            <w:r>
              <w:rPr>
                <w:rFonts w:ascii="Arial" w:hAnsi="Arial" w:cs="Arial"/>
                <w:sz w:val="18"/>
                <w:szCs w:val="18"/>
                <w:vertAlign w:val="superscript"/>
                <w:lang w:val="en-US"/>
              </w:rPr>
              <w:t xml:space="preserve">6</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tcPr>
          <w:p>
            <w:pPr>
              <w:spacing/>
              <w:rPr>
                <w:rFonts w:ascii="Arial" w:hAnsi="Arial" w:cs="Arial"/>
                <w:sz w:val="18"/>
                <w:szCs w:val="18"/>
              </w:rPr>
            </w:pPr>
            <w:r>
              <w:rPr>
                <w:rFonts w:ascii="Arial" w:hAnsi="Arial" w:cs="Arial"/>
                <w:sz w:val="18"/>
                <w:szCs w:val="18"/>
              </w:rPr>
              <w:t xml:space="preserve">Matavimo apvijų transformacijos koeficiento keitimo galimybė/</w:t>
            </w:r>
          </w:p>
          <w:p>
            <w:pPr>
              <w:spacing/>
              <w:rPr>
                <w:rFonts w:ascii="Arial" w:hAnsi="Arial" w:cs="Arial"/>
                <w:sz w:val="18"/>
                <w:szCs w:val="18"/>
              </w:rPr>
            </w:pPr>
            <w:r>
              <w:rPr>
                <w:rFonts w:ascii="Arial" w:hAnsi="Arial" w:cs="Arial"/>
                <w:sz w:val="18"/>
                <w:szCs w:val="18"/>
                <w:lang w:val="en-US"/>
              </w:rPr>
              <w:t xml:space="preserve">Possibility to change transformation ratio of metering winding</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Tik naudojant atšakas antrinėse srovės matavimo apvijose/</w:t>
            </w:r>
          </w:p>
          <w:p>
            <w:pPr>
              <w:spacing/>
              <w:jc w:val="center"/>
              <w:rPr>
                <w:rFonts w:ascii="Arial" w:hAnsi="Arial" w:cs="Arial"/>
                <w:sz w:val="18"/>
                <w:szCs w:val="18"/>
              </w:rPr>
            </w:pPr>
            <w:r>
              <w:rPr>
                <w:rFonts w:ascii="Arial" w:hAnsi="Arial" w:cs="Arial"/>
                <w:sz w:val="18"/>
                <w:szCs w:val="18"/>
                <w:lang w:val="en-US"/>
              </w:rPr>
              <w:t xml:space="preserve">Only by taps installed in secondary windings </w:t>
            </w:r>
            <w:r>
              <w:rPr>
                <w:rFonts w:ascii="Arial" w:hAnsi="Arial" w:cs="Arial"/>
                <w:sz w:val="18"/>
                <w:szCs w:val="18"/>
                <w:vertAlign w:val="superscript"/>
                <w:lang w:val="en-US"/>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3687"/>
            <w:tcBorders/>
          </w:tcPr>
          <w:p>
            <w:pPr>
              <w:spacing/>
              <w:rPr>
                <w:rFonts w:ascii="Arial" w:hAnsi="Arial" w:cs="Arial"/>
                <w:sz w:val="18"/>
                <w:szCs w:val="18"/>
              </w:rPr>
            </w:pPr>
            <w:r>
              <w:rPr>
                <w:rFonts w:ascii="Arial" w:hAnsi="Arial" w:cs="Arial"/>
                <w:sz w:val="18"/>
                <w:szCs w:val="18"/>
              </w:rPr>
              <w:t xml:space="preserve">Maksimalus leistinas skirtingų transformacijos koeficientų kiekis vienai matavimo apvijai/</w:t>
            </w:r>
          </w:p>
          <w:p>
            <w:pPr>
              <w:spacing/>
              <w:rPr>
                <w:rFonts w:ascii="Arial" w:hAnsi="Arial" w:cs="Arial"/>
                <w:sz w:val="18"/>
                <w:szCs w:val="18"/>
              </w:rPr>
            </w:pPr>
            <w:r>
              <w:rPr>
                <w:rFonts w:ascii="Arial" w:hAnsi="Arial" w:cs="Arial"/>
                <w:sz w:val="18"/>
                <w:szCs w:val="18"/>
                <w:lang w:val="en-US"/>
              </w:rPr>
              <w:t xml:space="preserve">Maximum permissible number of different ratios for one secondary metering winding</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2 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bl>
    <w:p w14:paraId="334CF236">
      <w:pPr>
        <w:spacing/>
        <w:rPr>
          <w:rFonts w:ascii="Arial" w:hAnsi="Arial" w:cs="Arial"/>
        </w:rPr>
      </w:pPr>
      <w:r>
        <w:rPr>
          <w:rFonts w:ascii="Arial" w:hAnsi="Arial" w:cs="Arial"/>
        </w:rPr>
        <w:br w:type="page"/>
      </w: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trPr>
          <w:cantSplit/>
        </w:trPr>
        <w:tc>
          <w:tcPr>
            <w:tcW w:type="dxa" w:w="705"/>
            <w:tcBorders/>
            <w:vAlign w:val="center"/>
          </w:tcPr>
          <w:p>
            <w:pPr>
              <w:pStyle w:val="ListParagraph"/>
              <w:numPr>
                <w:ilvl w:val="0"/>
                <w:numId w:val="10"/>
              </w:numPr>
              <w:spacing/>
              <w:rPr>
                <w:rFonts w:ascii="Arial" w:hAnsi="Arial" w:cs="Arial"/>
                <w:sz w:val="18"/>
                <w:szCs w:val="18"/>
              </w:rPr>
            </w:pPr>
          </w:p>
        </w:tc>
        <w:tc>
          <w:tcPr>
            <w:tcW w:type="dxa" w:w="11061"/>
            <w:gridSpan w:val="6"/>
            <w:tcBorders/>
            <w:vAlign w:val="center"/>
          </w:tcPr>
          <w:p>
            <w:pPr>
              <w:spacing/>
              <w:jc w:val="center"/>
              <w:rPr>
                <w:rFonts w:ascii="Arial" w:hAnsi="Arial" w:cs="Arial"/>
                <w:b/>
                <w:bCs/>
                <w:sz w:val="18"/>
                <w:szCs w:val="18"/>
                <w:vertAlign w:val="superscript"/>
                <w:lang w:val="en-US"/>
              </w:rPr>
            </w:pPr>
            <w:r>
              <w:rPr>
                <w:rFonts w:ascii="Arial" w:hAnsi="Arial" w:cs="Arial"/>
                <w:b/>
                <w:bCs/>
                <w:sz w:val="18"/>
                <w:szCs w:val="18"/>
              </w:rPr>
              <w:t xml:space="preserve">Šerdžių vardinės charakteristikos/ </w:t>
            </w:r>
            <w:r>
              <w:rPr>
                <w:rFonts w:ascii="Arial" w:hAnsi="Arial" w:cs="Arial"/>
                <w:b/>
                <w:bCs/>
                <w:sz w:val="18"/>
                <w:szCs w:val="18"/>
                <w:lang w:val="en-US"/>
              </w:rPr>
              <w:t xml:space="preserve">Rated values of cores </w:t>
            </w:r>
            <w:r>
              <w:rPr>
                <w:rFonts w:ascii="Arial" w:hAnsi="Arial" w:cs="Arial"/>
                <w:b/>
                <w:bCs/>
                <w:sz w:val="18"/>
                <w:szCs w:val="18"/>
                <w:vertAlign w:val="superscript"/>
                <w:lang w:val="en-US"/>
              </w:rPr>
              <w:t xml:space="preserve">c)</w:t>
            </w:r>
          </w:p>
          <w:p>
            <w:pPr>
              <w:spacing/>
              <w:jc w:val="both"/>
              <w:rPr>
                <w:rFonts w:ascii="Arial" w:hAnsi="Arial" w:cs="Arial"/>
                <w:b/>
                <w:bCs/>
                <w:sz w:val="18"/>
                <w:szCs w:val="18"/>
                <w:lang w:val="en-US"/>
              </w:rPr>
            </w:pPr>
            <w:r>
              <w:rPr>
                <w:rFonts w:ascii="Arial" w:hAnsi="Arial" w:cs="Arial"/>
                <w:b/>
                <w:bCs/>
                <w:sz w:val="18"/>
                <w:szCs w:val="18"/>
              </w:rPr>
              <w:t xml:space="preserve">Pastabos:/ </w:t>
            </w:r>
            <w:r>
              <w:rPr>
                <w:rFonts w:ascii="Arial" w:hAnsi="Arial" w:cs="Arial"/>
                <w:b/>
                <w:bCs/>
                <w:sz w:val="18"/>
                <w:szCs w:val="18"/>
                <w:lang w:val="en-US"/>
              </w:rPr>
              <w:t xml:space="preserve">Notes:</w:t>
            </w:r>
          </w:p>
          <w:p>
            <w:pPr>
              <w:spacing/>
              <w:jc w:val="both"/>
              <w:rPr>
                <w:rFonts w:ascii="Arial" w:hAnsi="Arial" w:cs="Arial"/>
                <w:b/>
                <w:bCs/>
                <w:sz w:val="18"/>
                <w:szCs w:val="18"/>
                <w:lang w:val="en-US"/>
              </w:rPr>
            </w:pPr>
            <w:r>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pPr>
              <w:spacing/>
              <w:jc w:val="both"/>
              <w:rPr>
                <w:rFonts w:ascii="Arial" w:hAnsi="Arial" w:cs="Arial"/>
                <w:sz w:val="18"/>
                <w:szCs w:val="18"/>
              </w:rPr>
            </w:pPr>
            <w:r>
              <w:rPr>
                <w:rFonts w:ascii="Arial" w:hAnsi="Arial" w:cs="Arial"/>
                <w:sz w:val="18"/>
                <w:szCs w:val="18"/>
                <w:lang w:val="en-US"/>
              </w:rPr>
              <w:t xml:space="preserve">2. </w:t>
            </w:r>
            <w:r>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Pr>
                <w:rFonts w:ascii="Arial" w:hAnsi="Arial" w:cs="Arial"/>
                <w:sz w:val="18"/>
                <w:szCs w:val="18"/>
                <w:lang w:val="en-US"/>
              </w:rPr>
              <w:t xml:space="preserve">The exact number of cores and windings shall be selected and agreed with TSO at the project preparation. The values below are only given as an example only for filling the specification.</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5"/>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1S1 – 1S3</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2S1 – 2S2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3S1 – 3S2</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4S1 – 4S2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5S1 – 5S2</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6S1 – 6S2</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5"/>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300-600/1 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5"/>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w:t>
            </w:r>
            <w:r>
              <w:rPr>
                <w:rFonts w:ascii="Arial" w:hAnsi="Arial" w:cs="Arial"/>
                <w:color w:val="A6A6A6"/>
                <w:sz w:val="18"/>
                <w:szCs w:val="18"/>
              </w:rPr>
              <w:t xml:space="preserve">,</w:t>
            </w:r>
            <w:r>
              <w:rPr>
                <w:rFonts w:ascii="Arial" w:hAnsi="Arial" w:cs="Arial"/>
                <w:color w:val="A6A6A6"/>
                <w:sz w:val="18"/>
                <w:szCs w:val="18"/>
              </w:rPr>
              <w:t xml:space="preserve">5 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5"/>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0.2S</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15"/>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FS5</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shd w:fill="auto" w:color="auto" w:val="clear"/>
            <w:vAlign w:val="center"/>
          </w:tcPr>
          <w:p>
            <w:pPr>
              <w:pStyle w:val="ListParagraph"/>
              <w:numPr>
                <w:ilvl w:val="0"/>
                <w:numId w:val="15"/>
              </w:numPr>
              <w:spacing/>
              <w:rPr>
                <w:rFonts w:ascii="Arial" w:hAnsi="Arial" w:cs="Arial"/>
                <w:sz w:val="18"/>
                <w:szCs w:val="18"/>
              </w:rPr>
            </w:pPr>
          </w:p>
        </w:tc>
        <w:tc>
          <w:tcPr>
            <w:tcW w:type="dxa" w:w="1843"/>
            <w:tcBorders/>
            <w:shd w:fill="auto" w:color="auto" w:val="clear"/>
          </w:tcPr>
          <w:p>
            <w:pPr>
              <w:spacing/>
              <w:jc w:val="center"/>
              <w:rPr>
                <w:rFonts w:ascii="Arial" w:hAnsi="Arial" w:cs="Arial"/>
                <w:color w:val="A6A6A6"/>
                <w:sz w:val="18"/>
                <w:szCs w:val="18"/>
              </w:rPr>
            </w:pPr>
            <w:r>
              <w:rPr>
                <w:rFonts w:ascii="Arial" w:hAnsi="Arial" w:cs="Arial"/>
                <w:color w:val="A6A6A6"/>
                <w:sz w:val="18"/>
                <w:szCs w:val="18"/>
              </w:rPr>
              <w:t xml:space="preserve">Netaikoma/</w:t>
            </w:r>
          </w:p>
          <w:p>
            <w:pPr>
              <w:spacing/>
              <w:jc w:val="center"/>
              <w:rPr>
                <w:rFonts w:ascii="Arial" w:hAnsi="Arial" w:cs="Arial"/>
                <w:color w:val="A6A6A6"/>
                <w:sz w:val="18"/>
                <w:szCs w:val="18"/>
                <w:lang w:val="en-US"/>
              </w:rPr>
            </w:pPr>
            <w:r>
              <w:rPr>
                <w:rFonts w:ascii="Arial" w:hAnsi="Arial" w:cs="Arial"/>
                <w:color w:val="A6A6A6"/>
                <w:sz w:val="18"/>
                <w:szCs w:val="18"/>
                <w:lang w:val="en-US"/>
              </w:rPr>
              <w:t xml:space="preserve">Not applicable</w:t>
            </w:r>
          </w:p>
        </w:tc>
        <w:tc>
          <w:tcPr>
            <w:tcW w:type="dxa" w:w="1844"/>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3"/>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3"/>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15163"/>
            <w:gridSpan w:val="9"/>
            <w:tcBorders/>
            <w:vAlign w:val="center"/>
          </w:tcPr>
          <w:p>
            <w:pPr>
              <w:spacing/>
              <w:jc w:val="both"/>
              <w:rPr>
                <w:rFonts w:ascii="Arial" w:hAnsi="Arial" w:cs="Arial"/>
                <w:b/>
                <w:bCs/>
                <w:color w:val="000000"/>
                <w:sz w:val="18"/>
                <w:szCs w:val="18"/>
                <w:lang w:val="en-GB"/>
              </w:rPr>
            </w:pPr>
            <w:r>
              <w:rPr>
                <w:rFonts w:ascii="Arial" w:hAnsi="Arial" w:cs="Arial"/>
                <w:b/>
                <w:bCs/>
                <w:color w:val="000000"/>
                <w:sz w:val="18"/>
                <w:szCs w:val="18"/>
              </w:rPr>
              <w:t xml:space="preserve">Paaiškinimai/ </w:t>
            </w:r>
            <w:r>
              <w:rPr>
                <w:rFonts w:ascii="Arial" w:hAnsi="Arial" w:cs="Arial"/>
                <w:b/>
                <w:bCs/>
                <w:color w:val="000000"/>
                <w:sz w:val="18"/>
                <w:szCs w:val="18"/>
                <w:lang w:val="en-GB"/>
              </w:rPr>
              <w:t xml:space="preserve">Explanations:</w:t>
            </w:r>
          </w:p>
          <w:p>
            <w:pPr>
              <w:spacing/>
              <w:jc w:val="both"/>
              <w:rPr>
                <w:rFonts w:ascii="Arial" w:hAnsi="Arial" w:cs="Arial"/>
                <w:color w:val="000000"/>
                <w:sz w:val="18"/>
                <w:szCs w:val="18"/>
                <w:lang w:val="en-US"/>
              </w:rPr>
            </w:pPr>
            <w:r>
              <w:rPr>
                <w:rFonts w:ascii="Arial" w:hAnsi="Arial" w:cs="Arial"/>
                <w:color w:val="000000"/>
                <w:sz w:val="18"/>
                <w:szCs w:val="18"/>
              </w:rPr>
              <w:t xml:space="preserve">9.1 – Išvadų žymėjimas/ </w:t>
            </w:r>
            <w:r>
              <w:rPr>
                <w:rFonts w:ascii="Arial" w:hAnsi="Arial" w:cs="Arial"/>
                <w:color w:val="000000"/>
                <w:sz w:val="18"/>
                <w:szCs w:val="18"/>
                <w:lang w:val="en-US"/>
              </w:rPr>
              <w:t xml:space="preserve">Marking of terminals;</w:t>
            </w:r>
          </w:p>
          <w:p>
            <w:pPr>
              <w:spacing/>
              <w:jc w:val="both"/>
              <w:rPr>
                <w:rFonts w:ascii="Arial" w:hAnsi="Arial" w:cs="Arial"/>
                <w:color w:val="000000"/>
                <w:sz w:val="18"/>
                <w:szCs w:val="18"/>
              </w:rPr>
            </w:pPr>
            <w:r>
              <w:rPr>
                <w:rFonts w:ascii="Arial" w:hAnsi="Arial" w:cs="Arial"/>
                <w:color w:val="000000"/>
                <w:sz w:val="18"/>
                <w:szCs w:val="18"/>
              </w:rPr>
              <w:t xml:space="preserve">9.2 – Transformacijos koeficientas. </w:t>
            </w:r>
            <w:r>
              <w:rPr>
                <w:rFonts w:ascii="Arial" w:hAnsi="Arial" w:cs="Arial"/>
                <w:sz w:val="18"/>
                <w:szCs w:val="18"/>
              </w:rPr>
              <w:t xml:space="preserve">Vardinė pirminė srovė (I</w:t>
            </w:r>
            <w:r>
              <w:rPr>
                <w:rFonts w:ascii="Arial" w:hAnsi="Arial" w:cs="Arial"/>
                <w:sz w:val="18"/>
                <w:szCs w:val="18"/>
                <w:vertAlign w:val="subscript"/>
              </w:rPr>
              <w:t xml:space="preserve">pr</w:t>
            </w:r>
            <w:r>
              <w:rPr>
                <w:rFonts w:ascii="Arial" w:hAnsi="Arial" w:cs="Arial"/>
                <w:sz w:val="18"/>
                <w:szCs w:val="18"/>
              </w:rPr>
              <w:t xml:space="preserve">) turi būti parenkama iš standartinių verčių arba jų dešimtainių daugiklių pagal IEC 61869-2 punktą 5.201: 10-12,5-15-20-25-30-40-50-60-75 A. Vardinė antrinė srovė (I</w:t>
            </w:r>
            <w:r>
              <w:rPr>
                <w:rFonts w:ascii="Arial" w:hAnsi="Arial" w:cs="Arial"/>
                <w:sz w:val="18"/>
                <w:szCs w:val="18"/>
                <w:vertAlign w:val="subscript"/>
              </w:rPr>
              <w:t xml:space="preserve">sr</w:t>
            </w:r>
            <w:r>
              <w:rPr>
                <w:rFonts w:ascii="Arial" w:hAnsi="Arial" w:cs="Arial"/>
                <w:sz w:val="18"/>
                <w:szCs w:val="18"/>
              </w:rPr>
              <w:t xml:space="preserve">) parenkama 1A. </w:t>
            </w:r>
            <w:r>
              <w:rPr>
                <w:rFonts w:ascii="Arial" w:hAnsi="Arial" w:cs="Arial"/>
                <w:color w:val="000000"/>
                <w:sz w:val="18"/>
                <w:szCs w:val="18"/>
              </w:rPr>
              <w:t xml:space="preserve">Atskirais atvejais, suderinus su Užsakovu Projektuotojas gali parinkti 5A vardinę antrinę srovę/ </w:t>
            </w:r>
            <w:r>
              <w:rPr>
                <w:rFonts w:ascii="Arial" w:hAnsi="Arial" w:cs="Arial"/>
                <w:color w:val="000000"/>
                <w:sz w:val="18"/>
                <w:szCs w:val="18"/>
                <w:lang w:val="en-US"/>
              </w:rPr>
              <w:t xml:space="preserve">Ratio. </w:t>
            </w:r>
            <w:r>
              <w:rPr>
                <w:rFonts w:ascii="Arial" w:hAnsi="Arial" w:cs="Arial"/>
                <w:sz w:val="18"/>
                <w:szCs w:val="18"/>
                <w:lang w:val="en-US"/>
              </w:rPr>
              <w:t xml:space="preserve">Rated primary current shall be chosen of standard values and their decimal multiplies according to IEC 61869-2 clause 5.201: 10-12,5-15-20-25-30-40-50-60-75 A. Rated secondary current (I</w:t>
            </w:r>
            <w:r>
              <w:rPr>
                <w:rFonts w:ascii="Arial" w:hAnsi="Arial" w:cs="Arial"/>
                <w:sz w:val="18"/>
                <w:szCs w:val="18"/>
                <w:vertAlign w:val="subscript"/>
                <w:lang w:val="en-US"/>
              </w:rPr>
              <w:t xml:space="preserve">sr</w:t>
            </w:r>
            <w:r>
              <w:rPr>
                <w:rFonts w:ascii="Arial" w:hAnsi="Arial" w:cs="Arial"/>
                <w:sz w:val="18"/>
                <w:szCs w:val="18"/>
                <w:lang w:val="en-US"/>
              </w:rPr>
              <w:t xml:space="preserve">) shall be chosen 1A. </w:t>
            </w:r>
            <w:r>
              <w:rPr>
                <w:rFonts w:ascii="Arial" w:hAnsi="Arial" w:cs="Arial"/>
                <w:color w:val="000000"/>
                <w:sz w:val="18"/>
                <w:szCs w:val="18"/>
                <w:lang w:val="en-US"/>
              </w:rPr>
              <w:t xml:space="preserve">In exceptional cases, in agreement with Customer author of project can choose value of rated secondary current </w:t>
            </w:r>
            <w:r>
              <w:rPr>
                <w:rFonts w:ascii="Arial" w:hAnsi="Arial" w:cs="Arial"/>
                <w:color w:val="000000"/>
                <w:sz w:val="18"/>
                <w:szCs w:val="18"/>
                <w:lang w:val="en-US"/>
              </w:rPr>
              <w:t xml:space="preserve">5A;</w:t>
            </w:r>
          </w:p>
          <w:p>
            <w:pPr>
              <w:spacing/>
              <w:jc w:val="both"/>
              <w:rPr>
                <w:rFonts w:ascii="Arial" w:hAnsi="Arial" w:cs="Arial"/>
                <w:color w:val="000000"/>
                <w:sz w:val="18"/>
                <w:szCs w:val="18"/>
                <w:lang w:val="en-US"/>
              </w:rPr>
            </w:pPr>
            <w:r>
              <w:rPr>
                <w:rFonts w:ascii="Arial" w:hAnsi="Arial" w:cs="Arial"/>
                <w:color w:val="000000"/>
                <w:sz w:val="18"/>
                <w:szCs w:val="18"/>
              </w:rPr>
              <w:t xml:space="preserve">9.3 – </w:t>
            </w:r>
            <w:bookmarkStart w:id="6" w:name="_Hlk120212084"/>
            <w:r>
              <w:rPr>
                <w:rFonts w:ascii="Arial" w:hAnsi="Arial" w:cs="Arial"/>
                <w:color w:val="000000"/>
                <w:sz w:val="18"/>
                <w:szCs w:val="18"/>
              </w:rPr>
              <w:t xml:space="preserve">Antrinių apvijų vardinė išėjimo galia</w:t>
            </w:r>
            <w:r>
              <w:rPr>
                <w:rFonts w:ascii="Arial" w:hAnsi="Arial" w:cs="Arial"/>
                <w:color w:val="000000"/>
                <w:sz w:val="18"/>
                <w:szCs w:val="18"/>
              </w:rPr>
              <w:t xml:space="preserve"> (S), VA</w:t>
            </w:r>
            <w:r>
              <w:rPr>
                <w:rFonts w:ascii="Arial" w:hAnsi="Arial" w:cs="Arial"/>
                <w:color w:val="000000"/>
                <w:sz w:val="18"/>
                <w:szCs w:val="18"/>
              </w:rPr>
              <w:t xml:space="preserve">. Elektros apskaitos ir matavimo antrinių apvijų vardinė išėjimo galia turi būti 2,5 VA. </w:t>
            </w:r>
            <w:r>
              <w:rPr>
                <w:rFonts w:ascii="Arial" w:hAnsi="Arial" w:cs="Arial"/>
                <w:sz w:val="18"/>
                <w:szCs w:val="18"/>
              </w:rPr>
              <w:t xml:space="preserve">Parenkant daugiasąntykinių transformatorių antrines apvijas su atšakomis (skirtingais transformacijos koeficientais), reikalavimas taikomas visoms atšakoms.</w:t>
            </w:r>
            <w:r>
              <w:rPr>
                <w:rFonts w:ascii="Arial" w:hAnsi="Arial" w:cs="Arial"/>
                <w:sz w:val="18"/>
                <w:szCs w:val="18"/>
              </w:rPr>
              <w:t xml:space="preserve"> </w:t>
            </w:r>
            <w:r>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Pr>
                <w:rFonts w:ascii="Arial" w:hAnsi="Arial" w:cs="Arial"/>
                <w:sz w:val="18"/>
                <w:szCs w:val="18"/>
              </w:rPr>
              <w:t xml:space="preserve">IEC 61869-2 </w:t>
            </w:r>
            <w:r>
              <w:rPr>
                <w:rFonts w:ascii="Arial" w:hAnsi="Arial" w:cs="Arial"/>
                <w:color w:val="000000"/>
                <w:sz w:val="18"/>
                <w:szCs w:val="18"/>
              </w:rPr>
              <w:t xml:space="preserve">standartinių  verčių (5-10-15-30 VA arba skaičiavimais pagrįstų didesnių verčių). Techninio (techninio darbo) projekto rengimo metu visais atvejais Projektuotojas privalo atlikti ir pateikti skaičiavimus</w:t>
            </w:r>
            <w:bookmarkEnd w:id="6"/>
            <w:r>
              <w:rPr>
                <w:rFonts w:ascii="Arial" w:hAnsi="Arial" w:cs="Arial"/>
                <w:color w:val="000000"/>
                <w:sz w:val="18"/>
                <w:szCs w:val="18"/>
              </w:rPr>
              <w:t xml:space="preserve">/ </w:t>
            </w:r>
            <w:r>
              <w:rPr>
                <w:rFonts w:ascii="Arial" w:hAnsi="Arial" w:cs="Arial"/>
                <w:sz w:val="18"/>
                <w:szCs w:val="18"/>
                <w:lang w:val="en-US"/>
              </w:rPr>
              <w:t xml:space="preserve">Rated output of secondary windings</w:t>
            </w:r>
            <w:r>
              <w:rPr>
                <w:rFonts w:ascii="Arial" w:hAnsi="Arial" w:cs="Arial"/>
                <w:sz w:val="18"/>
                <w:szCs w:val="18"/>
                <w:lang w:val="en-US"/>
              </w:rPr>
              <w:t xml:space="preserve"> (S), VA</w:t>
            </w:r>
            <w:r>
              <w:rPr>
                <w:rFonts w:ascii="Arial" w:hAnsi="Arial" w:cs="Arial"/>
                <w:sz w:val="18"/>
                <w:szCs w:val="18"/>
                <w:lang w:val="en-US"/>
              </w:rPr>
              <w:t xml:space="preserve">. For metering windings shall be selected 2,5 VA. </w:t>
            </w:r>
            <w:r>
              <w:rPr>
                <w:rFonts w:ascii="Arial" w:hAnsi="Arial" w:cs="Arial"/>
                <w:sz w:val="18"/>
                <w:szCs w:val="18"/>
                <w:lang w:val="en-US"/>
              </w:rPr>
              <w:t xml:space="preserve">When selecting transformers with tapped secondary windings, the requirement applies to all taps.</w:t>
            </w:r>
            <w:r>
              <w:rPr>
                <w:rFonts w:ascii="Arial" w:hAnsi="Arial" w:cs="Arial"/>
                <w:sz w:val="18"/>
                <w:szCs w:val="18"/>
                <w:lang w:val="en-US"/>
              </w:rPr>
              <w:t xml:space="preserve"> </w:t>
            </w:r>
            <w:r>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r>
              <w:rPr>
                <w:rFonts w:ascii="Arial" w:hAnsi="Arial" w:cs="Arial"/>
                <w:sz w:val="18"/>
                <w:szCs w:val="18"/>
                <w:lang w:val="en-US"/>
              </w:rPr>
              <w:t xml:space="preserve">project</w:t>
            </w:r>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rPr>
              <w:t xml:space="preserve">9.4 – Tikslumo klasė. Matavimo apvijoms parenkama 0,2S</w:t>
            </w:r>
            <w:r>
              <w:rPr>
                <w:rFonts w:ascii="Arial" w:hAnsi="Arial" w:cs="Arial"/>
                <w:color w:val="000000"/>
                <w:sz w:val="18"/>
                <w:szCs w:val="18"/>
              </w:rPr>
              <w:t xml:space="preserve"> (taikoma visiems (skirtingiems) transformacijos koeficientams)</w:t>
            </w:r>
            <w:r>
              <w:rPr>
                <w:rFonts w:ascii="Arial" w:hAnsi="Arial" w:cs="Arial"/>
                <w:color w:val="000000"/>
                <w:sz w:val="18"/>
                <w:szCs w:val="18"/>
              </w:rPr>
              <w:t xml:space="preserve">, apsaugų apvijoms parenkama 5P/ </w:t>
            </w:r>
            <w:r>
              <w:rPr>
                <w:rFonts w:ascii="Arial" w:hAnsi="Arial" w:cs="Arial"/>
                <w:color w:val="000000"/>
                <w:sz w:val="18"/>
                <w:szCs w:val="18"/>
                <w:lang w:val="en-US"/>
              </w:rPr>
              <w:t xml:space="preserve">Accuracy class. To be selected 0.2S for metering windings</w:t>
            </w:r>
            <w:r>
              <w:rPr>
                <w:rFonts w:ascii="Arial" w:hAnsi="Arial" w:cs="Arial"/>
                <w:color w:val="000000"/>
                <w:sz w:val="18"/>
                <w:szCs w:val="18"/>
                <w:lang w:val="en-US"/>
              </w:rPr>
              <w:t xml:space="preserve"> (applicable for all (different) ratios)</w:t>
            </w:r>
            <w:r>
              <w:rPr>
                <w:rFonts w:ascii="Arial" w:hAnsi="Arial" w:cs="Arial"/>
                <w:color w:val="000000"/>
                <w:sz w:val="18"/>
                <w:szCs w:val="18"/>
                <w:lang w:val="en-US"/>
              </w:rPr>
              <w:t xml:space="preserve">, 5P for protection </w:t>
            </w:r>
            <w:r>
              <w:rPr>
                <w:rFonts w:ascii="Arial" w:hAnsi="Arial" w:cs="Arial"/>
                <w:color w:val="000000"/>
                <w:sz w:val="18"/>
                <w:szCs w:val="18"/>
                <w:lang w:val="en-US"/>
              </w:rPr>
              <w:t xml:space="preserve">windings;</w:t>
            </w:r>
          </w:p>
          <w:p>
            <w:pPr>
              <w:spacing/>
              <w:jc w:val="both"/>
              <w:rPr>
                <w:rFonts w:ascii="Arial" w:hAnsi="Arial" w:cs="Arial"/>
                <w:color w:val="000000"/>
                <w:sz w:val="18"/>
                <w:szCs w:val="18"/>
                <w:lang w:val="en-US"/>
              </w:rPr>
            </w:pPr>
            <w:r>
              <w:rPr>
                <w:rFonts w:ascii="Arial" w:hAnsi="Arial" w:cs="Arial"/>
                <w:color w:val="000000"/>
                <w:sz w:val="18"/>
                <w:szCs w:val="18"/>
              </w:rPr>
              <w:t xml:space="preserve">9.5 – </w:t>
            </w:r>
            <w:bookmarkStart w:id="7" w:name="_Hlk120214415"/>
            <w:r>
              <w:rPr>
                <w:rFonts w:ascii="Arial" w:hAnsi="Arial" w:cs="Arial"/>
                <w:color w:val="000000"/>
                <w:sz w:val="18"/>
                <w:szCs w:val="18"/>
              </w:rPr>
              <w:t xml:space="preserve">Antrinių apvijų saugumo faktorius (FS) ir</w:t>
            </w:r>
            <w:r>
              <w:rPr>
                <w:rFonts w:ascii="Arial" w:hAnsi="Arial" w:cs="Arial"/>
                <w:color w:val="000000"/>
                <w:sz w:val="18"/>
                <w:szCs w:val="18"/>
              </w:rPr>
              <w:t xml:space="preserve"> tikslumo ribos faktorius (ALF)</w:t>
            </w:r>
            <w:r>
              <w:rPr>
                <w:rFonts w:ascii="Arial" w:hAnsi="Arial" w:cs="Arial"/>
                <w:color w:val="000000"/>
                <w:sz w:val="18"/>
                <w:szCs w:val="18"/>
              </w:rPr>
              <w:t xml:space="preserve">. Elektros apskaitos ir matavimo</w:t>
            </w:r>
            <w:r>
              <w:rPr>
                <w:rFonts w:ascii="Arial" w:hAnsi="Arial" w:cs="Arial"/>
                <w:color w:val="000000"/>
                <w:sz w:val="18"/>
                <w:szCs w:val="18"/>
              </w:rPr>
              <w:t xml:space="preserve"> apvijų </w:t>
            </w:r>
            <w:r>
              <w:rPr>
                <w:rFonts w:ascii="Arial" w:hAnsi="Arial" w:cs="Arial"/>
                <w:color w:val="000000"/>
                <w:sz w:val="18"/>
                <w:szCs w:val="18"/>
              </w:rPr>
              <w:t xml:space="preserve">visais atvejais </w:t>
            </w:r>
            <w:r>
              <w:rPr>
                <w:rFonts w:ascii="Arial" w:hAnsi="Arial" w:cs="Arial"/>
                <w:color w:val="000000"/>
                <w:sz w:val="18"/>
                <w:szCs w:val="18"/>
              </w:rPr>
              <w:t xml:space="preserve">parenkamas FS5</w:t>
            </w:r>
            <w:r>
              <w:rPr>
                <w:rFonts w:ascii="Arial" w:hAnsi="Arial" w:cs="Arial"/>
                <w:color w:val="000000"/>
                <w:sz w:val="18"/>
                <w:szCs w:val="18"/>
              </w:rPr>
              <w:t xml:space="preserve">.</w:t>
            </w:r>
            <w:r>
              <w:rPr>
                <w:rFonts w:ascii="Arial" w:hAnsi="Arial" w:cs="Arial"/>
                <w:color w:val="000000"/>
                <w:sz w:val="18"/>
                <w:szCs w:val="18"/>
              </w:rPr>
              <w:t xml:space="preserve"> </w:t>
            </w:r>
            <w:r>
              <w:rPr>
                <w:rFonts w:ascii="Arial" w:hAnsi="Arial" w:cs="Arial"/>
                <w:color w:val="000000"/>
                <w:sz w:val="18"/>
                <w:szCs w:val="18"/>
              </w:rPr>
              <w:t xml:space="preserve">Relinės </w:t>
            </w:r>
            <w:r>
              <w:rPr>
                <w:rFonts w:ascii="Arial" w:hAnsi="Arial" w:cs="Arial"/>
                <w:color w:val="000000"/>
                <w:sz w:val="18"/>
                <w:szCs w:val="18"/>
              </w:rPr>
              <w:t xml:space="preserve">apsaug</w:t>
            </w:r>
            <w:r>
              <w:rPr>
                <w:rFonts w:ascii="Arial" w:hAnsi="Arial" w:cs="Arial"/>
                <w:color w:val="000000"/>
                <w:sz w:val="18"/>
                <w:szCs w:val="18"/>
              </w:rPr>
              <w:t xml:space="preserve">os</w:t>
            </w:r>
            <w:r>
              <w:rPr>
                <w:rFonts w:ascii="Arial" w:hAnsi="Arial" w:cs="Arial"/>
                <w:color w:val="000000"/>
                <w:sz w:val="18"/>
                <w:szCs w:val="18"/>
              </w:rPr>
              <w:t xml:space="preserve"> apvijų ALF parenkamas iš standartinių </w:t>
            </w:r>
            <w:r>
              <w:rPr>
                <w:rFonts w:ascii="Arial" w:hAnsi="Arial" w:cs="Arial"/>
                <w:sz w:val="18"/>
                <w:szCs w:val="18"/>
              </w:rPr>
              <w:t xml:space="preserve">IEC 61869-</w:t>
            </w:r>
            <w:r>
              <w:rPr>
                <w:rFonts w:ascii="Arial" w:hAnsi="Arial" w:cs="Arial"/>
                <w:sz w:val="18"/>
                <w:szCs w:val="18"/>
              </w:rPr>
              <w:t xml:space="preserve">2</w:t>
            </w:r>
            <w:r>
              <w:rPr>
                <w:rFonts w:ascii="Arial" w:hAnsi="Arial" w:cs="Arial"/>
                <w:color w:val="000000"/>
                <w:sz w:val="18"/>
                <w:szCs w:val="18"/>
              </w:rPr>
              <w:t xml:space="preserve"> verčių</w:t>
            </w:r>
            <w:r>
              <w:rPr>
                <w:rFonts w:ascii="Arial" w:hAnsi="Arial" w:cs="Arial"/>
                <w:color w:val="000000"/>
                <w:sz w:val="18"/>
                <w:szCs w:val="18"/>
              </w:rPr>
              <w:t xml:space="preserve">, bet ne mažesnis nei</w:t>
            </w:r>
            <w:r>
              <w:rPr>
                <w:rFonts w:ascii="Arial" w:hAnsi="Arial" w:cs="Arial"/>
                <w:color w:val="000000"/>
                <w:sz w:val="18"/>
                <w:szCs w:val="18"/>
              </w:rPr>
              <w:t xml:space="preserve"> 20</w:t>
            </w:r>
            <w:r>
              <w:rPr>
                <w:rFonts w:ascii="Arial" w:hAnsi="Arial" w:cs="Arial"/>
                <w:color w:val="000000"/>
                <w:sz w:val="18"/>
                <w:szCs w:val="18"/>
              </w:rPr>
              <w:t xml:space="preserve">. Techninio (techninio darbo) projekto rengimo metu Projektuotojas visais atvejais privalo atlikti ir pateikti </w:t>
            </w:r>
            <w:r>
              <w:rPr>
                <w:rFonts w:ascii="Arial" w:hAnsi="Arial" w:cs="Arial"/>
                <w:color w:val="000000"/>
                <w:sz w:val="18"/>
                <w:szCs w:val="18"/>
              </w:rPr>
              <w:t xml:space="preserve">-</w:t>
            </w:r>
            <w:r>
              <w:rPr>
                <w:rFonts w:ascii="Arial" w:hAnsi="Arial" w:cs="Arial"/>
                <w:color w:val="000000"/>
                <w:sz w:val="18"/>
                <w:szCs w:val="18"/>
              </w:rPr>
              <w:t xml:space="preserve">skaičiavimus, nustatant</w:t>
            </w:r>
            <w:r>
              <w:rPr>
                <w:rFonts w:ascii="Arial" w:hAnsi="Arial" w:cs="Arial"/>
                <w:color w:val="000000"/>
                <w:sz w:val="18"/>
                <w:szCs w:val="18"/>
              </w:rPr>
              <w:t xml:space="preserve"> maksimalų </w:t>
            </w:r>
            <w:r>
              <w:rPr>
                <w:rFonts w:ascii="Arial" w:hAnsi="Arial" w:cs="Arial"/>
                <w:color w:val="000000"/>
                <w:sz w:val="18"/>
                <w:szCs w:val="18"/>
              </w:rPr>
              <w:t xml:space="preserve">apsaugų apvijų tikslumo ribos faktori</w:t>
            </w:r>
            <w:r>
              <w:rPr>
                <w:rFonts w:ascii="Arial" w:hAnsi="Arial" w:cs="Arial"/>
                <w:color w:val="000000"/>
                <w:sz w:val="18"/>
                <w:szCs w:val="18"/>
              </w:rPr>
              <w:t xml:space="preserve">ų</w:t>
            </w:r>
            <w:r>
              <w:rPr>
                <w:rFonts w:ascii="Arial" w:hAnsi="Arial" w:cs="Arial"/>
                <w:color w:val="000000"/>
                <w:sz w:val="18"/>
                <w:szCs w:val="18"/>
              </w:rPr>
              <w:t xml:space="preserve"> </w:t>
            </w:r>
            <w:r>
              <w:rPr>
                <w:rFonts w:ascii="Arial" w:hAnsi="Arial" w:cs="Arial"/>
                <w:color w:val="000000"/>
                <w:sz w:val="18"/>
                <w:szCs w:val="18"/>
              </w:rPr>
              <w:t xml:space="preserve">vienfazių su žeme ir trifazių </w:t>
            </w:r>
            <w:r>
              <w:rPr>
                <w:rFonts w:ascii="Arial" w:hAnsi="Arial" w:cs="Arial"/>
                <w:color w:val="000000"/>
                <w:sz w:val="18"/>
                <w:szCs w:val="18"/>
              </w:rPr>
              <w:t xml:space="preserve">trump</w:t>
            </w:r>
            <w:r>
              <w:rPr>
                <w:rFonts w:ascii="Arial" w:hAnsi="Arial" w:cs="Arial"/>
                <w:color w:val="000000"/>
                <w:sz w:val="18"/>
                <w:szCs w:val="18"/>
              </w:rPr>
              <w:t xml:space="preserve">ų</w:t>
            </w:r>
            <w:r>
              <w:rPr>
                <w:rFonts w:ascii="Arial" w:hAnsi="Arial" w:cs="Arial"/>
                <w:color w:val="000000"/>
                <w:sz w:val="18"/>
                <w:szCs w:val="18"/>
              </w:rPr>
              <w:t xml:space="preserve">j</w:t>
            </w:r>
            <w:r>
              <w:rPr>
                <w:rFonts w:ascii="Arial" w:hAnsi="Arial" w:cs="Arial"/>
                <w:color w:val="000000"/>
                <w:sz w:val="18"/>
                <w:szCs w:val="18"/>
              </w:rPr>
              <w:t xml:space="preserve">ų</w:t>
            </w:r>
            <w:r>
              <w:rPr>
                <w:rFonts w:ascii="Arial" w:hAnsi="Arial" w:cs="Arial"/>
                <w:color w:val="000000"/>
                <w:sz w:val="18"/>
                <w:szCs w:val="18"/>
              </w:rPr>
              <w:t xml:space="preserve"> jungim</w:t>
            </w:r>
            <w:r>
              <w:rPr>
                <w:rFonts w:ascii="Arial" w:hAnsi="Arial" w:cs="Arial"/>
                <w:color w:val="000000"/>
                <w:sz w:val="18"/>
                <w:szCs w:val="18"/>
              </w:rPr>
              <w:t xml:space="preserve">ų</w:t>
            </w:r>
            <w:r>
              <w:rPr>
                <w:rFonts w:ascii="Arial" w:hAnsi="Arial" w:cs="Arial"/>
                <w:color w:val="000000"/>
                <w:sz w:val="18"/>
                <w:szCs w:val="18"/>
              </w:rPr>
              <w:t xml:space="preserve"> metu</w:t>
            </w:r>
            <w:bookmarkEnd w:id="7"/>
            <w:r>
              <w:rPr>
                <w:rFonts w:ascii="Arial" w:hAnsi="Arial" w:cs="Arial"/>
                <w:color w:val="000000"/>
                <w:sz w:val="18"/>
                <w:szCs w:val="18"/>
              </w:rPr>
              <w:t xml:space="preserve">/ </w:t>
            </w:r>
            <w:bookmarkStart w:id="8" w:name="_Hlk120214472"/>
            <w:r>
              <w:rPr>
                <w:rFonts w:ascii="Arial" w:hAnsi="Arial" w:cs="Arial"/>
                <w:color w:val="000000"/>
                <w:sz w:val="18"/>
                <w:szCs w:val="18"/>
                <w:lang w:val="en-US"/>
              </w:rPr>
              <w:t xml:space="preserve">Instrument security factor (FS) and accuracy limit factor (ALF).</w:t>
            </w:r>
            <w:r>
              <w:rPr>
                <w:rFonts w:ascii="Arial" w:hAnsi="Arial" w:cs="Arial"/>
                <w:color w:val="000000"/>
                <w:sz w:val="18"/>
                <w:szCs w:val="18"/>
              </w:rPr>
              <w:t xml:space="preserve"> </w:t>
            </w:r>
            <w:r>
              <w:rPr>
                <w:rFonts w:ascii="Arial" w:hAnsi="Arial" w:cs="Arial"/>
                <w:color w:val="000000"/>
                <w:sz w:val="18"/>
                <w:szCs w:val="18"/>
                <w:lang w:val="en-US"/>
              </w:rPr>
              <w:t xml:space="preserve">Instrument security factor of metering windings in all cases shall be selected FS5. Accuracy limit factor of protection windings shall be selected from standard IEC 61869-2 values but not less than 20. In all cases in</w:t>
            </w:r>
            <w:r>
              <w:rPr>
                <w:rFonts w:ascii="Arial" w:hAnsi="Arial" w:cs="Arial"/>
                <w:color w:val="000000"/>
                <w:sz w:val="18"/>
                <w:szCs w:val="18"/>
                <w:lang w:val="en-US"/>
              </w:rPr>
              <w:t xml:space="preserve"> technical (technical </w:t>
            </w:r>
            <w:r>
              <w:rPr>
                <w:rFonts w:ascii="Arial" w:hAnsi="Arial" w:cs="Arial"/>
                <w:color w:val="000000"/>
                <w:sz w:val="18"/>
                <w:szCs w:val="18"/>
                <w:lang w:val="en-US"/>
              </w:rPr>
              <w:t xml:space="preserve">detailed</w:t>
            </w:r>
            <w:r>
              <w:rPr>
                <w:rFonts w:ascii="Arial" w:hAnsi="Arial" w:cs="Arial"/>
                <w:color w:val="000000"/>
                <w:sz w:val="18"/>
                <w:szCs w:val="18"/>
                <w:lang w:val="en-US"/>
              </w:rPr>
              <w:t xml:space="preserve">) project</w:t>
            </w:r>
            <w:r>
              <w:rPr>
                <w:rFonts w:ascii="Arial" w:hAnsi="Arial" w:cs="Arial"/>
                <w:color w:val="000000"/>
                <w:sz w:val="18"/>
                <w:szCs w:val="18"/>
                <w:lang w:val="en-US"/>
              </w:rPr>
              <w:t xml:space="preserve"> shall be provided </w:t>
            </w:r>
            <w:r>
              <w:rPr>
                <w:rFonts w:ascii="Arial" w:hAnsi="Arial" w:cs="Arial"/>
                <w:color w:val="000000"/>
                <w:sz w:val="18"/>
                <w:szCs w:val="18"/>
                <w:lang w:val="en-US"/>
              </w:rPr>
              <w:t xml:space="preserve">calculations and determin</w:t>
            </w:r>
            <w:r>
              <w:rPr>
                <w:rFonts w:ascii="Arial" w:hAnsi="Arial" w:cs="Arial"/>
                <w:color w:val="000000"/>
                <w:sz w:val="18"/>
                <w:szCs w:val="18"/>
                <w:lang w:val="en-US"/>
              </w:rPr>
              <w:t xml:space="preserve">ation</w:t>
            </w:r>
            <w:r>
              <w:rPr>
                <w:rFonts w:ascii="Arial" w:hAnsi="Arial" w:cs="Arial"/>
                <w:color w:val="000000"/>
                <w:sz w:val="18"/>
                <w:szCs w:val="18"/>
                <w:lang w:val="en-US"/>
              </w:rPr>
              <w:t xml:space="preserve"> </w:t>
            </w:r>
            <w:r>
              <w:rPr>
                <w:rFonts w:ascii="Arial" w:hAnsi="Arial" w:cs="Arial"/>
                <w:color w:val="000000"/>
                <w:sz w:val="18"/>
                <w:szCs w:val="18"/>
                <w:lang w:val="en-US"/>
              </w:rPr>
              <w:t xml:space="preserve">of </w:t>
            </w:r>
            <w:r>
              <w:rPr>
                <w:rFonts w:ascii="Arial" w:hAnsi="Arial" w:cs="Arial"/>
                <w:color w:val="000000"/>
                <w:sz w:val="18"/>
                <w:szCs w:val="18"/>
                <w:lang w:val="en-US"/>
              </w:rPr>
              <w:t xml:space="preserve">maximum accuracy limit factor of protective windings during single-phase to ground and three-phase short </w:t>
            </w:r>
            <w:r>
              <w:rPr>
                <w:rFonts w:ascii="Arial" w:hAnsi="Arial" w:cs="Arial"/>
                <w:color w:val="000000"/>
                <w:sz w:val="18"/>
                <w:szCs w:val="18"/>
                <w:lang w:val="en-US"/>
              </w:rPr>
              <w:t xml:space="preserve">circuits</w:t>
            </w:r>
            <w:bookmarkEnd w:id="8"/>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9.6 – </w:t>
            </w:r>
            <w:r>
              <w:rPr>
                <w:rFonts w:ascii="Arial" w:hAnsi="Arial" w:cs="Arial"/>
                <w:color w:val="000000"/>
                <w:sz w:val="18"/>
                <w:szCs w:val="18"/>
              </w:rPr>
              <w:t xml:space="preserve">Antrinės apvijos varža, (R</w:t>
            </w:r>
            <w:r>
              <w:rPr>
                <w:rFonts w:ascii="Arial" w:hAnsi="Arial" w:cs="Arial"/>
                <w:color w:val="000000"/>
                <w:sz w:val="18"/>
                <w:szCs w:val="18"/>
                <w:vertAlign w:val="subscript"/>
              </w:rPr>
              <w:t xml:space="preserve">ct</w:t>
            </w:r>
            <w:r>
              <w:rPr>
                <w:rFonts w:ascii="Arial" w:hAnsi="Arial" w:cs="Arial"/>
                <w:color w:val="000000"/>
                <w:sz w:val="18"/>
                <w:szCs w:val="18"/>
              </w:rPr>
              <w:t xml:space="preserve">, Ω), parenkama ne didesnė nei 7</w:t>
            </w:r>
            <w:r>
              <w:rPr>
                <w:rFonts w:ascii="Arial" w:hAnsi="Arial" w:cs="Arial"/>
                <w:color w:val="000000"/>
                <w:sz w:val="18"/>
                <w:szCs w:val="18"/>
                <w:lang w:val="en-US"/>
              </w:rPr>
              <w:t xml:space="preserve"> Ω</w:t>
            </w:r>
            <w:r>
              <w:rPr>
                <w:rFonts w:ascii="Arial" w:hAnsi="Arial" w:cs="Arial"/>
                <w:color w:val="000000"/>
                <w:sz w:val="18"/>
                <w:szCs w:val="18"/>
              </w:rPr>
              <w:t xml:space="preserve">. Konkreti vertė turi būti parenkama ir suderinama su Užsakovu techninio projekto derinimo metu. Tik apsaugų apvijoms/ </w:t>
            </w:r>
            <w:r>
              <w:rPr>
                <w:rFonts w:ascii="Arial" w:hAnsi="Arial" w:cs="Arial"/>
                <w:color w:val="000000"/>
                <w:sz w:val="18"/>
                <w:szCs w:val="18"/>
                <w:lang w:val="en-US"/>
              </w:rPr>
              <w:t xml:space="preserve">Secondary winding resistance (R</w:t>
            </w:r>
            <w:r>
              <w:rPr>
                <w:rFonts w:ascii="Arial" w:hAnsi="Arial" w:cs="Arial"/>
                <w:color w:val="000000"/>
                <w:sz w:val="18"/>
                <w:szCs w:val="18"/>
                <w:vertAlign w:val="subscript"/>
                <w:lang w:val="en-US"/>
              </w:rPr>
              <w:t xml:space="preserve">ct</w:t>
            </w:r>
            <w:r>
              <w:rPr>
                <w:rFonts w:ascii="Arial" w:hAnsi="Arial" w:cs="Arial"/>
                <w:color w:val="000000"/>
                <w:sz w:val="18"/>
                <w:szCs w:val="18"/>
                <w:lang w:val="en-US"/>
              </w:rPr>
              <w:t xml:space="preserve">, Ω) to be selected not higher than </w:t>
            </w:r>
            <w:r>
              <w:rPr>
                <w:rFonts w:ascii="Arial" w:hAnsi="Arial" w:cs="Arial"/>
                <w:color w:val="000000"/>
                <w:sz w:val="18"/>
                <w:szCs w:val="18"/>
              </w:rPr>
              <w:t xml:space="preserve">7</w:t>
            </w:r>
            <w:r>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61B29CB5">
      <w:pPr>
        <w:spacing/>
        <w:rPr>
          <w:rFonts w:ascii="Arial" w:hAnsi="Arial" w:cs="Arial"/>
          <w:sz w:val="18"/>
          <w:szCs w:val="18"/>
        </w:rPr>
      </w:pPr>
    </w:p>
    <w:p w14:paraId="1C32BF39">
      <w:pPr>
        <w:spacing w:after="160" w:line="259" w:lineRule="auto"/>
        <w:rPr>
          <w:rFonts w:ascii="Arial" w:hAnsi="Arial" w:cs="Arial"/>
          <w:sz w:val="18"/>
          <w:szCs w:val="18"/>
        </w:rPr>
      </w:pPr>
      <w:r>
        <w:rPr>
          <w:rFonts w:ascii="Arial" w:hAnsi="Arial" w:cs="Arial"/>
          <w:sz w:val="18"/>
          <w:szCs w:val="18"/>
        </w:rPr>
        <w:br w:type="page"/>
      </w:r>
    </w:p>
    <w:p w14:paraId="61DE9DA9">
      <w:pPr>
        <w:spacing/>
        <w:jc w:val="right"/>
        <w:rPr>
          <w:rFonts w:ascii="Arial" w:hAnsi="Arial" w:cs="Arial"/>
          <w:sz w:val="18"/>
          <w:szCs w:val="18"/>
        </w:rPr>
      </w:pPr>
      <w:r>
        <w:rPr>
          <w:rFonts w:ascii="Arial" w:hAnsi="Arial" w:cs="Arial"/>
          <w:sz w:val="18"/>
          <w:szCs w:val="18"/>
        </w:rPr>
        <w:t xml:space="preserve">2 priedas. Įtampos matavimo transformatorių specifikacijos pavyzdys/</w:t>
      </w:r>
    </w:p>
    <w:p w14:paraId="34533FD3">
      <w:pPr>
        <w:spacing/>
        <w:jc w:val="right"/>
        <w:rPr>
          <w:rFonts w:ascii="Arial" w:hAnsi="Arial" w:cs="Arial"/>
          <w:sz w:val="18"/>
          <w:szCs w:val="18"/>
        </w:rPr>
      </w:pPr>
      <w:r>
        <w:rPr>
          <w:rFonts w:ascii="Arial" w:hAnsi="Arial" w:cs="Arial"/>
          <w:sz w:val="18"/>
          <w:szCs w:val="18"/>
          <w:lang w:val="en-US"/>
        </w:rPr>
        <w:t xml:space="preserve">Annex 2. Example of specifications for voltage instrument transformers</w:t>
      </w:r>
    </w:p>
    <w:p w14:paraId="78C45CE9">
      <w:pPr>
        <w:pStyle w:val="Header"/>
        <w:spacing/>
        <w:jc w:val="right"/>
        <w:rPr>
          <w:rFonts w:ascii="Arial" w:hAnsi="Arial" w:cs="Arial"/>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trPr>
          <w:cantSplit/>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gridSpan w:val="3"/>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gridSpan w:val="2"/>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4"/>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cantSplit/>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gridSpan w:val="3"/>
            <w:vMerge w:val="continue"/>
            <w:tcBorders/>
            <w:shd w:fill="F2F2F2" w:color="auto" w:val="clear"/>
            <w:vAlign w:val="center"/>
          </w:tcPr>
          <w:p>
            <w:pPr>
              <w:spacing/>
              <w:jc w:val="center"/>
              <w:rPr>
                <w:rFonts w:ascii="Arial" w:hAnsi="Arial" w:cs="Arial"/>
                <w:sz w:val="18"/>
                <w:szCs w:val="18"/>
              </w:rPr>
            </w:pPr>
          </w:p>
        </w:tc>
        <w:tc>
          <w:tcPr>
            <w:tcW w:type="dxa" w:w="3687"/>
            <w:gridSpan w:val="2"/>
            <w:vMerge w:val="continue"/>
            <w:tcBorders/>
            <w:shd w:fill="F2F2F2" w:color="auto" w:val="clear"/>
            <w:vAlign w:val="center"/>
          </w:tcPr>
          <w:p>
            <w:pPr>
              <w:spacing/>
              <w:jc w:val="center"/>
              <w:rPr>
                <w:rFonts w:ascii="Arial" w:hAnsi="Arial" w:cs="Arial"/>
                <w:sz w:val="18"/>
                <w:szCs w:val="18"/>
              </w:rPr>
            </w:pPr>
          </w:p>
        </w:tc>
        <w:tc>
          <w:tcPr>
            <w:tcW w:type="dxa" w:w="3687"/>
            <w:gridSpan w:val="2"/>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cantSplit/>
          <w:trHeight w:val="418" w:hRule="atLeast"/>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3"/>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Nr.</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cantSplit/>
        </w:trPr>
        <w:tc>
          <w:tcPr>
            <w:tcW w:type="dxa" w:w="705"/>
            <w:tcBorders/>
            <w:vAlign w:val="center"/>
          </w:tcPr>
          <w:p>
            <w:pPr>
              <w:pStyle w:val="ListParagraph"/>
              <w:numPr>
                <w:ilvl w:val="0"/>
                <w:numId w:val="25"/>
              </w:numPr>
              <w:spacing/>
              <w:rPr>
                <w:rFonts w:ascii="Arial" w:hAnsi="Arial" w:cs="Arial"/>
                <w:sz w:val="18"/>
                <w:szCs w:val="18"/>
              </w:rPr>
            </w:pPr>
          </w:p>
        </w:tc>
        <w:tc>
          <w:tcPr>
            <w:tcW w:type="dxa" w:w="3687"/>
            <w:gridSpan w:val="3"/>
            <w:tcBorders/>
            <w:vAlign w:val="center"/>
          </w:tcPr>
          <w:p>
            <w:pPr>
              <w:spacing/>
              <w:rPr>
                <w:rFonts w:ascii="Arial" w:hAnsi="Arial" w:cs="Arial"/>
                <w:sz w:val="18"/>
                <w:szCs w:val="18"/>
              </w:rPr>
            </w:pPr>
            <w:r>
              <w:rPr>
                <w:rFonts w:ascii="Arial" w:hAnsi="Arial" w:cs="Arial"/>
                <w:sz w:val="18"/>
                <w:szCs w:val="18"/>
              </w:rPr>
              <w:t xml:space="preserve">Kiekis vienfaziais vienetais, vnt./</w:t>
            </w:r>
          </w:p>
          <w:p>
            <w:pPr>
              <w:spacing/>
              <w:jc w:val="both"/>
              <w:rPr>
                <w:rFonts w:ascii="Arial" w:hAnsi="Arial" w:cs="Arial"/>
                <w:sz w:val="18"/>
                <w:szCs w:val="18"/>
              </w:rPr>
            </w:pPr>
            <w:r>
              <w:rPr>
                <w:rFonts w:ascii="Arial" w:hAnsi="Arial" w:cs="Arial"/>
                <w:sz w:val="18"/>
                <w:szCs w:val="18"/>
                <w:lang w:val="en-US"/>
              </w:rPr>
              <w:t xml:space="preserve">Quantity in one-phase units, pcs.</w:t>
            </w:r>
          </w:p>
        </w:tc>
        <w:tc>
          <w:tcPr>
            <w:tcW w:type="dxa" w:w="3687"/>
            <w:gridSpan w:val="2"/>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gridSpan w:val="2"/>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vMerge w:val="restart"/>
            <w:tcBorders/>
            <w:vAlign w:val="center"/>
          </w:tcPr>
          <w:p>
            <w:pPr>
              <w:pStyle w:val="ListParagraph"/>
              <w:numPr>
                <w:ilvl w:val="0"/>
                <w:numId w:val="25"/>
              </w:numPr>
              <w:spacing/>
              <w:rPr>
                <w:rFonts w:ascii="Arial" w:hAnsi="Arial" w:cs="Arial"/>
                <w:sz w:val="18"/>
                <w:szCs w:val="18"/>
              </w:rPr>
            </w:pPr>
          </w:p>
        </w:tc>
        <w:tc>
          <w:tcPr>
            <w:tcW w:type="dxa" w:w="2267"/>
            <w:gridSpan w:val="2"/>
            <w:vMerge w:val="restart"/>
            <w:tcBorders/>
            <w:vAlign w:val="center"/>
          </w:tcPr>
          <w:p>
            <w:pPr>
              <w:spacing/>
              <w:rPr>
                <w:rFonts w:ascii="Arial" w:hAnsi="Arial" w:cs="Arial"/>
                <w:sz w:val="18"/>
                <w:szCs w:val="18"/>
              </w:rPr>
            </w:pPr>
            <w:r>
              <w:rPr>
                <w:rFonts w:ascii="Arial" w:hAnsi="Arial" w:cs="Arial"/>
                <w:sz w:val="18"/>
                <w:szCs w:val="18"/>
              </w:rPr>
              <w:t xml:space="preserve">Vardinis įtampos faktorius/</w:t>
            </w:r>
          </w:p>
          <w:p>
            <w:pPr>
              <w:spacing/>
              <w:rPr>
                <w:rFonts w:ascii="Arial" w:hAnsi="Arial" w:cs="Arial"/>
                <w:sz w:val="18"/>
                <w:szCs w:val="18"/>
                <w:vertAlign w:val="superscript"/>
              </w:rPr>
            </w:pPr>
            <w:r>
              <w:rPr>
                <w:rFonts w:ascii="Arial" w:hAnsi="Arial" w:cs="Arial"/>
                <w:sz w:val="18"/>
                <w:szCs w:val="18"/>
                <w:lang w:val="en-US"/>
              </w:rPr>
              <w:t xml:space="preserve">Rated voltage factor, (F</w:t>
            </w:r>
            <w:r>
              <w:rPr>
                <w:rFonts w:ascii="Arial" w:hAnsi="Arial" w:cs="Arial"/>
                <w:sz w:val="18"/>
                <w:szCs w:val="18"/>
                <w:vertAlign w:val="subscript"/>
                <w:lang w:val="en-US"/>
              </w:rPr>
              <w:t xml:space="preserve">v</w:t>
            </w:r>
            <w:r>
              <w:rPr>
                <w:rFonts w:ascii="Arial" w:hAnsi="Arial" w:cs="Arial"/>
                <w:sz w:val="18"/>
                <w:szCs w:val="18"/>
                <w:lang w:val="en-US"/>
              </w:rPr>
              <w:t xml:space="preserve">)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Ilgalaikis/ </w:t>
            </w:r>
            <w:r>
              <w:rPr>
                <w:rFonts w:ascii="Arial" w:hAnsi="Arial" w:cs="Arial"/>
                <w:sz w:val="18"/>
                <w:szCs w:val="18"/>
                <w:lang w:val="en-US"/>
              </w:rPr>
              <w:t xml:space="preserve">Continuous</w:t>
            </w:r>
          </w:p>
        </w:tc>
        <w:tc>
          <w:tcPr>
            <w:tcW w:type="dxa" w:w="3687"/>
            <w:gridSpan w:val="2"/>
            <w:tcBorders/>
            <w:vAlign w:val="center"/>
          </w:tcPr>
          <w:p>
            <w:pPr>
              <w:spacing/>
              <w:jc w:val="center"/>
              <w:rPr>
                <w:rFonts w:ascii="Arial" w:hAnsi="Arial" w:cs="Arial"/>
                <w:sz w:val="18"/>
                <w:szCs w:val="18"/>
                <w:vertAlign w:val="superscript"/>
              </w:rPr>
            </w:pPr>
            <w:r>
              <w:rPr>
                <w:rFonts w:ascii="Arial" w:hAnsi="Arial" w:cs="Arial"/>
                <w:sz w:val="18"/>
                <w:szCs w:val="18"/>
              </w:rPr>
              <w:t xml:space="preserve">≥1,2 </w:t>
            </w:r>
            <w:r>
              <w:rPr>
                <w:rFonts w:ascii="Arial" w:hAnsi="Arial" w:cs="Arial"/>
                <w:sz w:val="18"/>
                <w:szCs w:val="18"/>
                <w:vertAlign w:val="superscript"/>
              </w:rPr>
              <w:t xml:space="preserve">c)</w:t>
            </w:r>
          </w:p>
        </w:tc>
        <w:tc>
          <w:tcPr>
            <w:tcW w:type="dxa" w:w="3687"/>
            <w:gridSpan w:val="2"/>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Height w:val="453" w:hRule="atLeast"/>
        </w:trPr>
        <w:tc>
          <w:tcPr>
            <w:tcW w:type="dxa" w:w="705"/>
            <w:vMerge w:val="continue"/>
            <w:tcBorders/>
            <w:vAlign w:val="center"/>
          </w:tcPr>
          <w:p>
            <w:pPr>
              <w:pStyle w:val="ListParagraph"/>
              <w:numPr>
                <w:ilvl w:val="0"/>
                <w:numId w:val="25"/>
              </w:numPr>
              <w:spacing/>
              <w:rPr>
                <w:rFonts w:ascii="Arial" w:hAnsi="Arial" w:cs="Arial"/>
                <w:sz w:val="18"/>
                <w:szCs w:val="18"/>
              </w:rPr>
            </w:pPr>
          </w:p>
        </w:tc>
        <w:tc>
          <w:tcPr>
            <w:tcW w:type="dxa" w:w="2267"/>
            <w:gridSpan w:val="2"/>
            <w:vMerge w:val="continue"/>
            <w:tcBorders/>
            <w:vAlign w:val="center"/>
          </w:tcPr>
          <w:p>
            <w:pPr>
              <w:spacing/>
              <w:jc w:val="both"/>
              <w:rPr>
                <w:rFonts w:ascii="Arial" w:hAnsi="Arial" w:cs="Arial"/>
                <w:sz w:val="18"/>
                <w:szCs w:val="18"/>
              </w:rPr>
            </w:pP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30 s</w:t>
            </w:r>
          </w:p>
        </w:tc>
        <w:tc>
          <w:tcPr>
            <w:tcW w:type="dxa" w:w="3687"/>
            <w:gridSpan w:val="2"/>
            <w:tcBorders/>
            <w:vAlign w:val="center"/>
          </w:tcPr>
          <w:p>
            <w:pPr>
              <w:spacing/>
              <w:jc w:val="center"/>
              <w:rPr>
                <w:rFonts w:ascii="Arial" w:hAnsi="Arial" w:cs="Arial"/>
                <w:sz w:val="18"/>
                <w:szCs w:val="18"/>
                <w:vertAlign w:val="superscript"/>
              </w:rPr>
            </w:pPr>
            <w:r>
              <w:rPr>
                <w:rFonts w:ascii="Arial" w:hAnsi="Arial" w:cs="Arial"/>
                <w:sz w:val="18"/>
                <w:szCs w:val="18"/>
              </w:rPr>
              <w:t xml:space="preserve">≥1,5 </w:t>
            </w:r>
            <w:r>
              <w:rPr>
                <w:rFonts w:ascii="Arial" w:hAnsi="Arial" w:cs="Arial"/>
                <w:sz w:val="18"/>
                <w:szCs w:val="18"/>
                <w:vertAlign w:val="superscript"/>
              </w:rPr>
              <w:t xml:space="preserve">c)</w:t>
            </w:r>
          </w:p>
        </w:tc>
        <w:tc>
          <w:tcPr>
            <w:tcW w:type="dxa" w:w="3687"/>
            <w:gridSpan w:val="2"/>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5"/>
              </w:numPr>
              <w:spacing/>
              <w:rPr>
                <w:rFonts w:ascii="Arial" w:hAnsi="Arial" w:cs="Arial"/>
                <w:sz w:val="18"/>
                <w:szCs w:val="18"/>
              </w:rPr>
            </w:pPr>
          </w:p>
        </w:tc>
        <w:tc>
          <w:tcPr>
            <w:tcW w:type="dxa" w:w="11061"/>
            <w:gridSpan w:val="7"/>
            <w:tcBorders/>
          </w:tcPr>
          <w:p>
            <w:pPr>
              <w:spacing/>
              <w:jc w:val="center"/>
              <w:rPr>
                <w:rFonts w:ascii="Arial" w:hAnsi="Arial" w:cs="Arial"/>
                <w:b/>
                <w:bCs/>
                <w:sz w:val="18"/>
                <w:szCs w:val="18"/>
                <w:vertAlign w:val="superscript"/>
                <w:lang w:val="en-US"/>
              </w:rPr>
            </w:pPr>
            <w:r>
              <w:rPr>
                <w:rFonts w:ascii="Arial" w:hAnsi="Arial" w:cs="Arial"/>
                <w:b/>
                <w:bCs/>
                <w:sz w:val="18"/>
                <w:szCs w:val="18"/>
              </w:rPr>
              <w:t xml:space="preserve">Apvijų vardinės charakteristikos/ </w:t>
            </w:r>
            <w:r>
              <w:rPr>
                <w:rFonts w:ascii="Arial" w:hAnsi="Arial" w:cs="Arial"/>
                <w:b/>
                <w:bCs/>
                <w:sz w:val="18"/>
                <w:szCs w:val="18"/>
                <w:lang w:val="en-US"/>
              </w:rPr>
              <w:t xml:space="preserve">Rated values of windings </w:t>
            </w:r>
            <w:r>
              <w:rPr>
                <w:rFonts w:ascii="Arial" w:hAnsi="Arial" w:cs="Arial"/>
                <w:b/>
                <w:bCs/>
                <w:sz w:val="18"/>
                <w:szCs w:val="18"/>
                <w:vertAlign w:val="superscript"/>
                <w:lang w:val="en-US"/>
              </w:rPr>
              <w:t xml:space="preserve">c)</w:t>
            </w:r>
          </w:p>
          <w:p>
            <w:pPr>
              <w:spacing/>
              <w:jc w:val="both"/>
              <w:rPr>
                <w:rFonts w:ascii="Arial" w:hAnsi="Arial" w:cs="Arial"/>
                <w:b/>
                <w:bCs/>
                <w:sz w:val="18"/>
                <w:szCs w:val="18"/>
                <w:lang w:val="en-US"/>
              </w:rPr>
            </w:pPr>
            <w:r>
              <w:rPr>
                <w:rFonts w:ascii="Arial" w:hAnsi="Arial" w:cs="Arial"/>
                <w:b/>
                <w:bCs/>
                <w:sz w:val="18"/>
                <w:szCs w:val="18"/>
              </w:rPr>
              <w:t xml:space="preserve">Pastabos:/ </w:t>
            </w:r>
            <w:r>
              <w:rPr>
                <w:rFonts w:ascii="Arial" w:hAnsi="Arial" w:cs="Arial"/>
                <w:b/>
                <w:bCs/>
                <w:sz w:val="18"/>
                <w:szCs w:val="18"/>
                <w:lang w:val="en-US"/>
              </w:rPr>
              <w:t xml:space="preserve">Notes:</w:t>
            </w:r>
          </w:p>
          <w:p>
            <w:pPr>
              <w:spacing/>
              <w:jc w:val="both"/>
              <w:rPr>
                <w:rFonts w:ascii="Arial" w:hAnsi="Arial" w:cs="Arial"/>
                <w:b/>
                <w:bCs/>
                <w:sz w:val="18"/>
                <w:szCs w:val="18"/>
                <w:lang w:val="en-US"/>
              </w:rPr>
            </w:pPr>
            <w:r>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pPr>
              <w:spacing/>
              <w:jc w:val="both"/>
              <w:rPr>
                <w:rFonts w:ascii="Arial" w:hAnsi="Arial" w:cs="Arial"/>
                <w:b/>
                <w:bCs/>
                <w:sz w:val="18"/>
                <w:szCs w:val="18"/>
                <w:vertAlign w:val="superscript"/>
              </w:rPr>
            </w:pPr>
            <w:r>
              <w:rPr>
                <w:rFonts w:ascii="Arial" w:hAnsi="Arial" w:cs="Arial"/>
                <w:sz w:val="18"/>
                <w:szCs w:val="18"/>
                <w:lang w:val="en-US"/>
              </w:rPr>
              <w:t xml:space="preserve">2. </w:t>
            </w:r>
            <w:r>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Pr>
                <w:rFonts w:ascii="Arial" w:hAnsi="Arial" w:cs="Arial"/>
                <w:sz w:val="18"/>
                <w:szCs w:val="18"/>
                <w:lang w:val="en-US"/>
              </w:rPr>
              <w:t xml:space="preserve">The exact number of cores and windings shall be selected and agreed with TSO at the project preparation. The values below are only given as an example only for filling the specification.</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1061"/>
            <w:gridSpan w:val="7"/>
            <w:tcBorders/>
          </w:tcPr>
          <w:p>
            <w:pPr>
              <w:spacing/>
              <w:jc w:val="center"/>
              <w:rPr>
                <w:rFonts w:ascii="Arial" w:hAnsi="Arial" w:cs="Arial"/>
                <w:sz w:val="18"/>
                <w:szCs w:val="18"/>
              </w:rPr>
            </w:pPr>
            <w:r>
              <w:rPr>
                <w:rFonts w:ascii="Arial" w:hAnsi="Arial" w:cs="Arial"/>
                <w:color w:val="A6A6A6"/>
                <w:sz w:val="18"/>
                <w:szCs w:val="18"/>
              </w:rPr>
              <w:t xml:space="preserve">33</w:t>
            </w:r>
            <w:r>
              <w:rPr>
                <w:rFonts w:ascii="Arial" w:hAnsi="Arial" w:cs="Arial"/>
                <w:color w:val="A6A6A6"/>
                <w:sz w:val="18"/>
                <w:szCs w:val="18"/>
              </w:rPr>
              <w:t xml:space="preserve">0 000/√3 V</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1a – 1n</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2a – 2n</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da – dn</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100/√3 V</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100/√3 V</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705"/>
            <w:tcBorders/>
            <w:vAlign w:val="center"/>
          </w:tcPr>
          <w:p>
            <w:pPr>
              <w:pStyle w:val="ListParagraph"/>
              <w:numPr>
                <w:ilvl w:val="0"/>
                <w:numId w:val="27"/>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gridSpan w:val="2"/>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cantSplit/>
        </w:trPr>
        <w:tc>
          <w:tcPr>
            <w:tcW w:type="dxa" w:w="15163"/>
            <w:gridSpan w:val="10"/>
            <w:tcBorders/>
            <w:vAlign w:val="center"/>
          </w:tcPr>
          <w:p>
            <w:pPr>
              <w:spacing/>
              <w:jc w:val="both"/>
              <w:rPr>
                <w:rFonts w:ascii="Arial" w:hAnsi="Arial" w:cs="Arial"/>
                <w:b/>
                <w:bCs/>
                <w:color w:val="000000"/>
                <w:sz w:val="18"/>
                <w:szCs w:val="18"/>
                <w:lang w:val="en-GB"/>
              </w:rPr>
            </w:pPr>
            <w:r>
              <w:rPr>
                <w:rFonts w:ascii="Arial" w:hAnsi="Arial" w:cs="Arial"/>
                <w:b/>
                <w:bCs/>
                <w:color w:val="000000"/>
                <w:sz w:val="18"/>
                <w:szCs w:val="18"/>
              </w:rPr>
              <w:t xml:space="preserve">Paaiškinimai/ </w:t>
            </w:r>
            <w:r>
              <w:rPr>
                <w:rFonts w:ascii="Arial" w:hAnsi="Arial" w:cs="Arial"/>
                <w:b/>
                <w:bCs/>
                <w:color w:val="000000"/>
                <w:sz w:val="18"/>
                <w:szCs w:val="18"/>
                <w:lang w:val="en-GB"/>
              </w:rPr>
              <w:t xml:space="preserve">Explanations:</w:t>
            </w:r>
          </w:p>
          <w:p>
            <w:pPr>
              <w:spacing/>
              <w:jc w:val="both"/>
              <w:rPr>
                <w:rFonts w:ascii="Arial" w:hAnsi="Arial" w:cs="Arial"/>
                <w:sz w:val="18"/>
                <w:szCs w:val="18"/>
              </w:rPr>
            </w:pPr>
            <w:r>
              <w:rPr>
                <w:rFonts w:ascii="Arial" w:hAnsi="Arial" w:cs="Arial"/>
                <w:sz w:val="18"/>
                <w:szCs w:val="18"/>
              </w:rPr>
              <w:t xml:space="preserve">3.1 – Vardinė pirminės apvijos įtampa/ </w:t>
            </w:r>
            <w:r>
              <w:rPr>
                <w:rFonts w:ascii="Arial" w:hAnsi="Arial" w:cs="Arial"/>
                <w:sz w:val="18"/>
                <w:szCs w:val="18"/>
                <w:lang w:val="en-US"/>
              </w:rPr>
              <w:t xml:space="preserve">Rated primary voltage, (U</w:t>
            </w:r>
            <w:r>
              <w:rPr>
                <w:rFonts w:ascii="Arial" w:hAnsi="Arial" w:cs="Arial"/>
                <w:sz w:val="18"/>
                <w:szCs w:val="18"/>
                <w:vertAlign w:val="subscript"/>
                <w:lang w:val="en-US"/>
              </w:rPr>
              <w:t xml:space="preserve">pr</w:t>
            </w:r>
            <w:r>
              <w:rPr>
                <w:rFonts w:ascii="Arial" w:hAnsi="Arial" w:cs="Arial"/>
                <w:sz w:val="18"/>
                <w:szCs w:val="18"/>
                <w:lang w:val="en-US"/>
              </w:rPr>
              <w:t xml:space="preserve">), V;</w:t>
            </w:r>
          </w:p>
          <w:p>
            <w:pPr>
              <w:spacing/>
              <w:jc w:val="both"/>
              <w:rPr>
                <w:rFonts w:ascii="Arial" w:hAnsi="Arial" w:cs="Arial"/>
                <w:sz w:val="18"/>
                <w:szCs w:val="18"/>
              </w:rPr>
            </w:pPr>
            <w:r>
              <w:rPr>
                <w:rFonts w:ascii="Arial" w:hAnsi="Arial" w:cs="Arial"/>
                <w:sz w:val="18"/>
                <w:szCs w:val="18"/>
              </w:rPr>
              <w:t xml:space="preserve">3.2 – Išvadų žymėjimas/ </w:t>
            </w:r>
            <w:r>
              <w:rPr>
                <w:rFonts w:ascii="Arial" w:hAnsi="Arial" w:cs="Arial"/>
                <w:sz w:val="18"/>
                <w:szCs w:val="18"/>
                <w:lang w:val="en-US"/>
              </w:rPr>
              <w:t xml:space="preserve">Marking of terminals</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3.3 – Vardinė antrinės apvijos įtampa. Parenkama 100/√3 arba 100/ </w:t>
            </w:r>
            <w:r>
              <w:rPr>
                <w:rFonts w:ascii="Arial" w:hAnsi="Arial" w:cs="Arial"/>
                <w:sz w:val="18"/>
                <w:szCs w:val="18"/>
                <w:lang w:val="en-US"/>
              </w:rPr>
              <w:t xml:space="preserve">Rated voltage of secondary winding. To be selected 100/√3 or 100, (U</w:t>
            </w:r>
            <w:r>
              <w:rPr>
                <w:rFonts w:ascii="Arial" w:hAnsi="Arial" w:cs="Arial"/>
                <w:sz w:val="18"/>
                <w:szCs w:val="18"/>
                <w:vertAlign w:val="subscript"/>
                <w:lang w:val="en-US"/>
              </w:rPr>
              <w:t xml:space="preserve">sr</w:t>
            </w:r>
            <w:r>
              <w:rPr>
                <w:rFonts w:ascii="Arial" w:hAnsi="Arial" w:cs="Arial"/>
                <w:sz w:val="18"/>
                <w:szCs w:val="18"/>
                <w:lang w:val="en-US"/>
              </w:rPr>
              <w:t xml:space="preserve">), </w:t>
            </w:r>
            <w:r>
              <w:rPr>
                <w:rFonts w:ascii="Arial" w:hAnsi="Arial" w:cs="Arial"/>
                <w:sz w:val="18"/>
                <w:szCs w:val="18"/>
                <w:lang w:val="en-US"/>
              </w:rPr>
              <w:t xml:space="preserve">V</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3.4 – Apvijos tikslumo klasė. Matavimo apvijoms parenkama 0.2, apsaugų apvijoms parenkama 3P/ </w:t>
            </w:r>
            <w:r>
              <w:rPr>
                <w:rFonts w:ascii="Arial" w:hAnsi="Arial" w:cs="Arial"/>
                <w:sz w:val="18"/>
                <w:szCs w:val="18"/>
                <w:lang w:val="en-US"/>
              </w:rPr>
              <w:t xml:space="preserve">Accuracy class of winding. To be selected 0.2 for metering windings, 3P for protection </w:t>
            </w:r>
            <w:r>
              <w:rPr>
                <w:rFonts w:ascii="Arial" w:hAnsi="Arial" w:cs="Arial"/>
                <w:sz w:val="18"/>
                <w:szCs w:val="18"/>
                <w:lang w:val="en-US"/>
              </w:rPr>
              <w:t xml:space="preserve">windings</w:t>
            </w:r>
            <w:r>
              <w:rPr>
                <w:rFonts w:ascii="Arial" w:hAnsi="Arial" w:cs="Arial"/>
                <w:sz w:val="18"/>
                <w:szCs w:val="18"/>
              </w:rPr>
              <w:t xml:space="preserve">;</w:t>
            </w:r>
          </w:p>
          <w:p>
            <w:pPr>
              <w:spacing/>
              <w:jc w:val="both"/>
              <w:rPr>
                <w:rFonts w:ascii="Arial" w:hAnsi="Arial" w:cs="Arial"/>
                <w:sz w:val="18"/>
                <w:szCs w:val="18"/>
                <w:lang w:val="en-US"/>
              </w:rPr>
            </w:pPr>
            <w:r>
              <w:rPr>
                <w:rFonts w:ascii="Arial" w:hAnsi="Arial" w:cs="Arial"/>
                <w:sz w:val="18"/>
                <w:szCs w:val="18"/>
              </w:rPr>
              <w:t xml:space="preserve">3.5 – </w:t>
            </w:r>
            <w:bookmarkStart w:id="9" w:name="_Hlk120215162"/>
            <w:r>
              <w:rPr>
                <w:rFonts w:ascii="Arial" w:hAnsi="Arial" w:cs="Arial"/>
                <w:color w:val="000000"/>
                <w:sz w:val="18"/>
                <w:szCs w:val="18"/>
              </w:rPr>
              <w:t xml:space="preserve">Antrinių apvijų vardinė išėjimo galia</w:t>
            </w:r>
            <w:r>
              <w:rPr>
                <w:rFonts w:ascii="Arial" w:hAnsi="Arial" w:cs="Arial"/>
                <w:color w:val="000000"/>
                <w:sz w:val="18"/>
                <w:szCs w:val="18"/>
              </w:rPr>
              <w:t xml:space="preserve"> (S), VA</w:t>
            </w:r>
            <w:r>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Pr>
                <w:rFonts w:ascii="Arial" w:hAnsi="Arial" w:cs="Arial"/>
                <w:sz w:val="18"/>
                <w:szCs w:val="18"/>
              </w:rPr>
              <w:t xml:space="preserve">IEC 61869-3 </w:t>
            </w:r>
            <w:r>
              <w:rPr>
                <w:rFonts w:ascii="Arial" w:hAnsi="Arial" w:cs="Arial"/>
                <w:color w:val="000000"/>
                <w:sz w:val="18"/>
                <w:szCs w:val="18"/>
              </w:rPr>
              <w:t xml:space="preserve">standartinių verčių (50 – 100 VA arba skaičiavimais pagrįstų didesnių verčių). Techninio (techninio darbo) projekto rengimo metu Projektuotojas visais atvejais privalo atlikti ir pateikti skaičiavimus</w:t>
            </w:r>
            <w:bookmarkEnd w:id="9"/>
            <w:r>
              <w:rPr>
                <w:rFonts w:ascii="Arial" w:hAnsi="Arial" w:cs="Arial"/>
                <w:sz w:val="18"/>
                <w:szCs w:val="18"/>
              </w:rPr>
              <w:t xml:space="preserve">/ </w:t>
            </w:r>
            <w:r>
              <w:rPr>
                <w:rFonts w:ascii="Arial" w:hAnsi="Arial" w:cs="Arial"/>
                <w:sz w:val="18"/>
                <w:szCs w:val="18"/>
                <w:lang w:val="en-US"/>
              </w:rPr>
              <w:t xml:space="preserve">Rated output of secondary windings</w:t>
            </w:r>
            <w:r>
              <w:rPr>
                <w:rFonts w:ascii="Arial" w:hAnsi="Arial" w:cs="Arial"/>
                <w:sz w:val="18"/>
                <w:szCs w:val="18"/>
                <w:lang w:val="en-US"/>
              </w:rPr>
              <w:t xml:space="preserve"> (S), VA</w:t>
            </w:r>
            <w:r>
              <w:rPr>
                <w:rFonts w:ascii="Arial" w:hAnsi="Arial" w:cs="Arial"/>
                <w:sz w:val="18"/>
                <w:szCs w:val="18"/>
                <w:lang w:val="en-US"/>
              </w:rPr>
              <w:t xml:space="preserve">.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r>
              <w:rPr>
                <w:rFonts w:ascii="Arial" w:hAnsi="Arial" w:cs="Arial"/>
                <w:sz w:val="18"/>
                <w:szCs w:val="18"/>
                <w:lang w:val="en-US"/>
              </w:rPr>
              <w:t xml:space="preserve">project</w:t>
            </w:r>
            <w:r>
              <w:rPr>
                <w:rFonts w:ascii="Arial" w:hAnsi="Arial" w:cs="Arial"/>
                <w:sz w:val="18"/>
                <w:szCs w:val="18"/>
                <w:lang w:val="en-US"/>
              </w:rPr>
              <w:t xml:space="preserve">;</w:t>
            </w:r>
          </w:p>
          <w:p>
            <w:pPr>
              <w:spacing/>
              <w:jc w:val="both"/>
              <w:rPr>
                <w:rFonts w:ascii="Arial" w:hAnsi="Arial" w:cs="Arial"/>
                <w:sz w:val="18"/>
                <w:szCs w:val="18"/>
                <w:lang w:val="en-US"/>
              </w:rPr>
            </w:pPr>
            <w:r>
              <w:rPr>
                <w:rFonts w:ascii="Arial" w:hAnsi="Arial" w:cs="Arial"/>
                <w:sz w:val="18"/>
                <w:szCs w:val="18"/>
              </w:rPr>
              <w:t xml:space="preserve">3.6 – Antrinės apvijos vardinė šiluminė apribojimo galia. Turi būti parenkama iš IEC 61869-3 p. 5.5.302 standartinių verčių 25 – 50 – 100 VA arba šių verčių dešimtainių daugiklių/ </w:t>
            </w:r>
            <w:r>
              <w:rPr>
                <w:rFonts w:ascii="Arial" w:hAnsi="Arial" w:cs="Arial"/>
                <w:sz w:val="18"/>
                <w:szCs w:val="18"/>
                <w:lang w:val="en-US"/>
              </w:rPr>
              <w:t xml:space="preserve">Rated thermal limiting output of secondary winding. To be selected from standard values 25 – 50 – 100 VA or their decimal multiples according to clause 5.5.302 of IEC 61869-3, (S</w:t>
            </w:r>
            <w:r>
              <w:rPr>
                <w:rFonts w:ascii="Arial" w:hAnsi="Arial" w:cs="Arial"/>
                <w:sz w:val="18"/>
                <w:szCs w:val="18"/>
                <w:vertAlign w:val="subscript"/>
                <w:lang w:val="en-US"/>
              </w:rPr>
              <w:t xml:space="preserve">th</w:t>
            </w:r>
            <w:r>
              <w:rPr>
                <w:rFonts w:ascii="Arial" w:hAnsi="Arial" w:cs="Arial"/>
                <w:sz w:val="18"/>
                <w:szCs w:val="18"/>
                <w:lang w:val="en-US"/>
              </w:rPr>
              <w:t xml:space="preserve">), VA;</w:t>
            </w:r>
          </w:p>
        </w:tc>
      </w:tr>
    </w:tbl>
    <w:p w14:paraId="18C5D0D6">
      <w:pPr>
        <w:spacing/>
        <w:rPr>
          <w:rFonts w:ascii="Arial" w:hAnsi="Arial" w:cs="Arial"/>
          <w:sz w:val="18"/>
          <w:szCs w:val="18"/>
        </w:rPr>
      </w:pPr>
    </w:p>
    <w:p w14:paraId="77E950CB">
      <w:pPr>
        <w:spacing w:after="160" w:line="259" w:lineRule="auto"/>
        <w:rPr>
          <w:rFonts w:ascii="Arial" w:hAnsi="Arial" w:cs="Arial"/>
          <w:sz w:val="18"/>
          <w:szCs w:val="18"/>
        </w:rPr>
      </w:pPr>
      <w:r>
        <w:rPr>
          <w:rFonts w:ascii="Arial" w:hAnsi="Arial" w:cs="Arial"/>
          <w:sz w:val="18"/>
          <w:szCs w:val="18"/>
        </w:rPr>
        <w:br w:type="page"/>
      </w:r>
    </w:p>
    <w:p w14:paraId="4CCD7EA5">
      <w:pPr>
        <w:pStyle w:val="Header"/>
        <w:spacing/>
        <w:jc w:val="right"/>
        <w:rPr>
          <w:rFonts w:ascii="Arial" w:hAnsi="Arial" w:cs="Arial"/>
          <w:sz w:val="18"/>
          <w:szCs w:val="18"/>
        </w:rPr>
      </w:pPr>
      <w:r>
        <w:rPr>
          <w:rFonts w:ascii="Arial" w:hAnsi="Arial" w:cs="Arial"/>
          <w:sz w:val="18"/>
          <w:szCs w:val="18"/>
        </w:rPr>
        <w:t xml:space="preserve">3 priedas. Kombinuotų matavimo transformatorių specifikacijos pavyzdys/</w:t>
      </w:r>
    </w:p>
    <w:p w14:paraId="0280665F">
      <w:pPr>
        <w:pStyle w:val="Header"/>
        <w:spacing/>
        <w:jc w:val="right"/>
        <w:rPr>
          <w:rFonts w:ascii="Arial" w:hAnsi="Arial" w:cs="Arial"/>
          <w:sz w:val="18"/>
          <w:szCs w:val="18"/>
          <w:lang w:val="en-US"/>
        </w:rPr>
      </w:pPr>
      <w:r>
        <w:rPr>
          <w:rFonts w:ascii="Arial" w:hAnsi="Arial" w:cs="Arial"/>
          <w:sz w:val="18"/>
          <w:szCs w:val="18"/>
          <w:lang w:val="en-US"/>
        </w:rPr>
        <w:t xml:space="preserve">Annex 3. Example of specifications for combined instrument transformers</w:t>
      </w:r>
    </w:p>
    <w:p w14:paraId="12E4099B">
      <w:pPr>
        <w:pStyle w:val="Header"/>
        <w:spacing/>
        <w:jc w:val="right"/>
        <w:rPr>
          <w:rFonts w:ascii="Arial" w:hAnsi="Arial" w:cs="Arial"/>
          <w:sz w:val="18"/>
          <w:szCs w:val="18"/>
          <w:lang w:val="en-US"/>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2267"/>
        <w:gridCol w:w="1420"/>
        <w:gridCol w:w="3687"/>
        <w:gridCol w:w="3687"/>
        <w:gridCol w:w="2406"/>
        <w:gridCol w:w="991"/>
      </w:tblGrid>
      <w:tr>
        <w:trPr/>
        <w:tc>
          <w:tcPr>
            <w:tcW w:type="dxa" w:w="705"/>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Eil. Nr./</w:t>
            </w:r>
          </w:p>
          <w:p>
            <w:pPr>
              <w:spacing/>
              <w:jc w:val="center"/>
              <w:rPr>
                <w:rFonts w:ascii="Arial" w:hAnsi="Arial" w:cs="Arial"/>
                <w:sz w:val="18"/>
                <w:szCs w:val="18"/>
                <w:lang w:val="en-US"/>
              </w:rPr>
            </w:pPr>
            <w:r>
              <w:rPr>
                <w:rFonts w:ascii="Arial" w:hAnsi="Arial" w:cs="Arial"/>
                <w:sz w:val="18"/>
                <w:szCs w:val="18"/>
                <w:lang w:val="en-US"/>
              </w:rPr>
              <w:t xml:space="preserve">Seq. No.</w:t>
            </w:r>
          </w:p>
        </w:tc>
        <w:tc>
          <w:tcPr>
            <w:tcW w:type="dxa" w:w="3687"/>
            <w:gridSpan w:val="2"/>
            <w:vMerge w:val="restart"/>
            <w:tcBorders/>
            <w:shd w:fill="F2F2F2" w:color="auto" w:val="clear"/>
            <w:vAlign w:val="center"/>
          </w:tcPr>
          <w:p>
            <w:pPr>
              <w:spacing/>
              <w:jc w:val="center"/>
              <w:rPr>
                <w:rFonts w:ascii="Arial" w:hAnsi="Arial" w:cs="Arial"/>
                <w:sz w:val="18"/>
                <w:szCs w:val="18"/>
                <w:lang w:val="en"/>
              </w:rPr>
            </w:pPr>
            <w:r>
              <w:rPr>
                <w:rFonts w:ascii="Arial" w:hAnsi="Arial" w:cs="Arial"/>
                <w:sz w:val="18"/>
                <w:szCs w:val="18"/>
              </w:rPr>
              <w:t xml:space="preserve">Įrenginio, įrangos, gaminio ar medžiagos reikalaujamas parametras, funkcija, išpildymas ar savybė/</w:t>
            </w:r>
          </w:p>
          <w:p>
            <w:pPr>
              <w:spacing/>
              <w:jc w:val="center"/>
              <w:rPr>
                <w:rFonts w:ascii="Arial" w:hAnsi="Arial" w:cs="Arial"/>
                <w:sz w:val="18"/>
                <w:szCs w:val="18"/>
                <w:lang w:val="en-US"/>
              </w:rPr>
            </w:pPr>
            <w:r>
              <w:rPr>
                <w:rFonts w:ascii="Arial" w:hAnsi="Arial" w:cs="Arial"/>
                <w:sz w:val="18"/>
                <w:szCs w:val="18"/>
                <w:lang w:val="en-US"/>
              </w:rPr>
              <w:t xml:space="preserve">Device, equipment, product or material required parameter, function, implementation or feature</w:t>
            </w:r>
          </w:p>
        </w:tc>
        <w:tc>
          <w:tcPr>
            <w:tcW w:type="dxa" w:w="3687"/>
            <w:vMerge w:val="restart"/>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Kiekis (mato vnt.), reikalaujama parametro (mato vnt.) ar funkcijos reikšmė, išpildymas ar savybė/</w:t>
            </w:r>
          </w:p>
          <w:p>
            <w:pPr>
              <w:spacing/>
              <w:jc w:val="center"/>
              <w:rPr>
                <w:rFonts w:ascii="Arial" w:hAnsi="Arial" w:cs="Arial"/>
                <w:sz w:val="18"/>
                <w:szCs w:val="18"/>
                <w:lang w:val="en-US"/>
              </w:rPr>
            </w:pPr>
            <w:r>
              <w:rPr>
                <w:rFonts w:ascii="Arial" w:hAnsi="Arial"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Siūlomo</w:t>
            </w:r>
            <w:r>
              <w:rPr>
                <w:rFonts w:ascii="Arial" w:hAnsi="Arial" w:cs="Arial"/>
                <w:sz w:val="18"/>
                <w:szCs w:val="18"/>
              </w:rPr>
              <w:t xml:space="preserve"> įrenginio, įrangos, gaminio ar medžiagos atitikimo reikalavimams patvirtinimas/</w:t>
            </w:r>
          </w:p>
          <w:p>
            <w:pPr>
              <w:spacing/>
              <w:jc w:val="center"/>
              <w:rPr>
                <w:rFonts w:ascii="Arial" w:hAnsi="Arial" w:cs="Arial"/>
                <w:sz w:val="18"/>
                <w:szCs w:val="18"/>
                <w:lang w:val="en-US"/>
              </w:rPr>
            </w:pPr>
            <w:r>
              <w:rPr>
                <w:rFonts w:ascii="Arial" w:hAnsi="Arial" w:cs="Arial"/>
                <w:sz w:val="18"/>
                <w:szCs w:val="18"/>
                <w:lang w:val="en-US"/>
              </w:rPr>
              <w:t xml:space="preserve">Eligibility confirmation of the proposed device, equipment, product or material</w:t>
            </w:r>
          </w:p>
        </w:tc>
      </w:tr>
      <w:tr>
        <w:trPr/>
        <w:tc>
          <w:tcPr>
            <w:tcW w:type="dxa" w:w="705"/>
            <w:vMerge w:val="continue"/>
            <w:tcBorders/>
            <w:shd w:fill="F2F2F2" w:color="auto" w:val="clear"/>
            <w:vAlign w:val="center"/>
          </w:tcPr>
          <w:p>
            <w:pPr>
              <w:spacing/>
              <w:jc w:val="center"/>
              <w:rPr>
                <w:rFonts w:ascii="Arial" w:hAnsi="Arial" w:cs="Arial"/>
                <w:sz w:val="18"/>
                <w:szCs w:val="18"/>
              </w:rPr>
            </w:pPr>
          </w:p>
        </w:tc>
        <w:tc>
          <w:tcPr>
            <w:tcW w:type="dxa" w:w="3687"/>
            <w:gridSpan w:val="2"/>
            <w:vMerge w:val="continue"/>
            <w:tcBorders/>
            <w:shd w:fill="F2F2F2" w:color="auto" w:val="clear"/>
            <w:vAlign w:val="center"/>
          </w:tcPr>
          <w:p>
            <w:pPr>
              <w:spacing/>
              <w:jc w:val="center"/>
              <w:rPr>
                <w:rFonts w:ascii="Arial" w:hAnsi="Arial" w:cs="Arial"/>
                <w:sz w:val="18"/>
                <w:szCs w:val="18"/>
              </w:rPr>
            </w:pPr>
          </w:p>
        </w:tc>
        <w:tc>
          <w:tcPr>
            <w:tcW w:type="dxa" w:w="3687"/>
            <w:vMerge w:val="continue"/>
            <w:tcBorders/>
            <w:shd w:fill="F2F2F2" w:color="auto" w:val="clear"/>
            <w:vAlign w:val="center"/>
          </w:tcPr>
          <w:p>
            <w:pPr>
              <w:spacing/>
              <w:jc w:val="center"/>
              <w:rPr>
                <w:rFonts w:ascii="Arial" w:hAnsi="Arial" w:cs="Arial"/>
                <w:sz w:val="18"/>
                <w:szCs w:val="18"/>
              </w:rPr>
            </w:pPr>
          </w:p>
        </w:tc>
        <w:tc>
          <w:tcPr>
            <w:tcW w:type="dxa" w:w="3687"/>
            <w:vMerge w:val="restart"/>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Atitikimą patvirtinanti parametro </w:t>
            </w:r>
            <w:r>
              <w:rPr>
                <w:rFonts w:ascii="Arial" w:hAnsi="Arial" w:cs="Arial"/>
                <w:sz w:val="18"/>
                <w:szCs w:val="18"/>
              </w:rPr>
              <w:t xml:space="preserve">(mato vnt.)</w:t>
            </w:r>
            <w:r>
              <w:rPr>
                <w:rFonts w:ascii="Arial" w:hAnsi="Arial" w:cs="Arial"/>
                <w:bCs/>
                <w:sz w:val="18"/>
                <w:szCs w:val="18"/>
              </w:rPr>
              <w:t xml:space="preserve"> </w:t>
            </w:r>
            <w:r>
              <w:rPr>
                <w:rFonts w:ascii="Arial" w:hAnsi="Arial" w:cs="Arial"/>
                <w:sz w:val="18"/>
                <w:szCs w:val="18"/>
              </w:rPr>
              <w:t xml:space="preserve">ar </w:t>
            </w:r>
            <w:r>
              <w:rPr>
                <w:rFonts w:ascii="Arial" w:hAnsi="Arial" w:cs="Arial"/>
                <w:bCs/>
                <w:sz w:val="18"/>
                <w:szCs w:val="18"/>
              </w:rPr>
              <w:t xml:space="preserve">funkcijos reikšmė, išpildymas ar savybė/</w:t>
            </w:r>
          </w:p>
          <w:p>
            <w:pPr>
              <w:spacing/>
              <w:jc w:val="center"/>
              <w:rPr>
                <w:rFonts w:ascii="Arial" w:hAnsi="Arial" w:cs="Arial"/>
                <w:sz w:val="18"/>
                <w:szCs w:val="18"/>
                <w:lang w:val="en-US"/>
              </w:rPr>
            </w:pPr>
            <w:r>
              <w:rPr>
                <w:rFonts w:ascii="Arial" w:hAnsi="Arial" w:cs="Arial"/>
                <w:bCs/>
                <w:sz w:val="18"/>
                <w:szCs w:val="18"/>
                <w:lang w:val="en-US"/>
              </w:rPr>
              <w:t xml:space="preserve">Parameter</w:t>
            </w:r>
            <w:r>
              <w:rPr>
                <w:rFonts w:ascii="Arial" w:hAnsi="Arial"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Arial" w:hAnsi="Arial" w:cs="Arial"/>
                <w:bCs/>
                <w:sz w:val="18"/>
                <w:szCs w:val="18"/>
              </w:rPr>
            </w:pPr>
            <w:r>
              <w:rPr>
                <w:rFonts w:ascii="Arial" w:hAnsi="Arial" w:cs="Arial"/>
                <w:bCs/>
                <w:sz w:val="18"/>
                <w:szCs w:val="18"/>
              </w:rPr>
              <w:t xml:space="preserve">Nuoroda į Rangovo pasiūlymo dokumentus/ </w:t>
            </w:r>
            <w:r>
              <w:rPr>
                <w:rFonts w:ascii="Arial" w:hAnsi="Arial" w:cs="Arial"/>
                <w:bCs/>
                <w:sz w:val="18"/>
                <w:szCs w:val="18"/>
                <w:lang w:val="en-US"/>
              </w:rPr>
              <w:t xml:space="preserve">Link to Supplier’s proposal documents</w:t>
            </w:r>
          </w:p>
        </w:tc>
      </w:tr>
      <w:tr>
        <w:trPr>
          <w:trHeight w:val="418" w:hRule="atLeast"/>
        </w:trPr>
        <w:tc>
          <w:tcPr>
            <w:tcW w:type="dxa" w:w="705"/>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gridSpan w:val="2"/>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3687"/>
            <w:vMerge w:val="continue"/>
            <w:tcBorders>
              <w:bottom w:val="single" w:color="auto" w:sz="4" w:space="0"/>
            </w:tcBorders>
            <w:shd w:fill="F2F2F2" w:color="auto" w:val="clear"/>
            <w:vAlign w:val="center"/>
          </w:tcPr>
          <w:p>
            <w:pPr>
              <w:spacing/>
              <w:jc w:val="center"/>
              <w:rPr>
                <w:rFonts w:ascii="Arial" w:hAnsi="Arial" w:cs="Arial"/>
                <w:sz w:val="18"/>
                <w:szCs w:val="18"/>
              </w:rPr>
            </w:pPr>
          </w:p>
        </w:tc>
        <w:tc>
          <w:tcPr>
            <w:tcW w:type="dxa" w:w="2406"/>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bCs/>
                <w:sz w:val="18"/>
                <w:szCs w:val="18"/>
              </w:rPr>
              <w:t xml:space="preserve">Priedo pavadinimas ar Nr./ </w:t>
            </w:r>
            <w:r>
              <w:rPr>
                <w:rFonts w:ascii="Arial" w:hAnsi="Arial" w:cs="Arial"/>
                <w:bCs/>
                <w:sz w:val="18"/>
                <w:szCs w:val="18"/>
                <w:lang w:val="en-US"/>
              </w:rPr>
              <w:t xml:space="preserve">Annex name or Nr.</w:t>
            </w:r>
          </w:p>
        </w:tc>
        <w:tc>
          <w:tcPr>
            <w:tcW w:type="dxa" w:w="991"/>
            <w:tcBorders>
              <w:bottom w:val="single" w:color="auto" w:sz="4" w:space="0"/>
            </w:tcBorders>
            <w:shd w:fill="F2F2F2" w:color="auto" w:val="clear"/>
            <w:vAlign w:val="center"/>
          </w:tcPr>
          <w:p>
            <w:pPr>
              <w:spacing/>
              <w:jc w:val="center"/>
              <w:rPr>
                <w:rFonts w:ascii="Arial" w:hAnsi="Arial" w:cs="Arial"/>
                <w:sz w:val="18"/>
                <w:szCs w:val="18"/>
              </w:rPr>
            </w:pPr>
            <w:r>
              <w:rPr>
                <w:rFonts w:ascii="Arial" w:hAnsi="Arial" w:cs="Arial"/>
                <w:sz w:val="18"/>
                <w:szCs w:val="18"/>
              </w:rPr>
              <w:t xml:space="preserve">Psl. Nr./</w:t>
            </w:r>
          </w:p>
          <w:p>
            <w:pPr>
              <w:spacing/>
              <w:jc w:val="center"/>
              <w:rPr>
                <w:rFonts w:ascii="Arial" w:hAnsi="Arial" w:cs="Arial"/>
                <w:sz w:val="18"/>
                <w:szCs w:val="18"/>
                <w:lang w:val="en-US"/>
              </w:rPr>
            </w:pPr>
            <w:r>
              <w:rPr>
                <w:rFonts w:ascii="Arial" w:hAnsi="Arial" w:cs="Arial"/>
                <w:sz w:val="18"/>
                <w:szCs w:val="18"/>
                <w:lang w:val="en-US"/>
              </w:rPr>
              <w:t xml:space="preserve">Pg. No</w:t>
            </w: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1.</w:t>
            </w:r>
          </w:p>
        </w:tc>
        <w:tc>
          <w:tcPr>
            <w:tcW w:type="dxa" w:w="3687"/>
            <w:gridSpan w:val="2"/>
            <w:tcBorders/>
            <w:vAlign w:val="center"/>
          </w:tcPr>
          <w:p>
            <w:pPr>
              <w:spacing/>
              <w:jc w:val="both"/>
              <w:rPr>
                <w:rFonts w:ascii="Arial" w:hAnsi="Arial" w:cs="Arial"/>
                <w:sz w:val="18"/>
                <w:szCs w:val="18"/>
              </w:rPr>
            </w:pPr>
            <w:r>
              <w:rPr>
                <w:rFonts w:ascii="Arial" w:hAnsi="Arial" w:cs="Arial"/>
                <w:sz w:val="18"/>
                <w:szCs w:val="18"/>
              </w:rPr>
              <w:t xml:space="preserve">Kiekis vienfaziais vienetais, vnt./</w:t>
            </w:r>
          </w:p>
          <w:p>
            <w:pPr>
              <w:spacing/>
              <w:jc w:val="both"/>
              <w:rPr>
                <w:rFonts w:ascii="Arial" w:hAnsi="Arial" w:cs="Arial"/>
                <w:sz w:val="18"/>
                <w:szCs w:val="18"/>
              </w:rPr>
            </w:pPr>
            <w:r>
              <w:rPr>
                <w:rFonts w:ascii="Arial" w:hAnsi="Arial" w:cs="Arial"/>
                <w:sz w:val="18"/>
                <w:szCs w:val="18"/>
                <w:lang w:val="en-US"/>
              </w:rPr>
              <w:t xml:space="preserve">Quantity in one-phase units, pcs.</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2.</w:t>
            </w:r>
          </w:p>
        </w:tc>
        <w:tc>
          <w:tcPr>
            <w:tcW w:type="dxa" w:w="14458"/>
            <w:gridSpan w:val="6"/>
            <w:tcBorders/>
            <w:vAlign w:val="center"/>
          </w:tcPr>
          <w:p>
            <w:pPr>
              <w:spacing/>
              <w:jc w:val="center"/>
              <w:rPr>
                <w:rFonts w:ascii="Arial" w:hAnsi="Arial" w:cs="Arial"/>
                <w:b/>
                <w:bCs/>
                <w:sz w:val="18"/>
                <w:szCs w:val="18"/>
              </w:rPr>
            </w:pPr>
            <w:r>
              <w:rPr>
                <w:rFonts w:ascii="Arial" w:hAnsi="Arial" w:cs="Arial"/>
                <w:b/>
                <w:bCs/>
                <w:sz w:val="18"/>
                <w:szCs w:val="18"/>
              </w:rPr>
              <w:t xml:space="preserve">Papildomi reikalavimai srovės matavimo transformatoriams/ </w:t>
            </w:r>
            <w:r>
              <w:rPr>
                <w:rFonts w:ascii="Arial" w:hAnsi="Arial" w:cs="Arial"/>
                <w:b/>
                <w:bCs/>
                <w:sz w:val="18"/>
                <w:szCs w:val="18"/>
                <w:lang w:val="en-US"/>
              </w:rPr>
              <w:t xml:space="preserve">Additional requirements for current instrument transformers</w:t>
            </w: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trumpalaikė (≥1s) terminė srovė/ </w:t>
            </w:r>
            <w:r>
              <w:rPr>
                <w:rFonts w:ascii="Arial" w:hAnsi="Arial" w:cs="Arial"/>
                <w:sz w:val="18"/>
                <w:szCs w:val="18"/>
                <w:lang w:val="en-US"/>
              </w:rPr>
              <w:t xml:space="preserve">Rated short-time (≥1s) thermal current, (I</w:t>
            </w:r>
            <w:r>
              <w:rPr>
                <w:rFonts w:ascii="Arial" w:hAnsi="Arial" w:cs="Arial"/>
                <w:sz w:val="18"/>
                <w:szCs w:val="18"/>
                <w:vertAlign w:val="subscript"/>
                <w:lang w:val="en-US"/>
              </w:rPr>
              <w:t xml:space="preserve">th</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bCs/>
                <w:sz w:val="18"/>
                <w:szCs w:val="18"/>
              </w:rPr>
              <w:t xml:space="preserve">≥ </w:t>
            </w:r>
            <w:r>
              <w:rPr>
                <w:rFonts w:ascii="Arial" w:hAnsi="Arial" w:cs="Arial"/>
                <w:bCs/>
                <w:sz w:val="18"/>
                <w:szCs w:val="18"/>
              </w:rPr>
              <w:t xml:space="preserve">40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dinaminė srovė/ </w:t>
            </w:r>
          </w:p>
          <w:p>
            <w:pPr>
              <w:spacing/>
              <w:rPr>
                <w:rFonts w:ascii="Arial" w:hAnsi="Arial" w:cs="Arial"/>
                <w:sz w:val="18"/>
                <w:szCs w:val="18"/>
              </w:rPr>
            </w:pPr>
            <w:r>
              <w:rPr>
                <w:rFonts w:ascii="Arial" w:hAnsi="Arial" w:cs="Arial"/>
                <w:sz w:val="18"/>
                <w:szCs w:val="18"/>
                <w:lang w:val="en-US"/>
              </w:rPr>
              <w:t xml:space="preserve">Rated dynamic current (I</w:t>
            </w:r>
            <w:r>
              <w:rPr>
                <w:rFonts w:ascii="Arial" w:hAnsi="Arial" w:cs="Arial"/>
                <w:sz w:val="18"/>
                <w:szCs w:val="18"/>
                <w:vertAlign w:val="subscript"/>
                <w:lang w:val="en-US"/>
              </w:rPr>
              <w:t xml:space="preserve">dyn</w:t>
            </w:r>
            <w:r>
              <w:rPr>
                <w:rFonts w:ascii="Arial" w:hAnsi="Arial" w:cs="Arial"/>
                <w:sz w:val="18"/>
                <w:szCs w:val="18"/>
                <w:lang w:val="en-US"/>
              </w:rPr>
              <w:t xml:space="preserve">), kA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vertAlign w:val="superscript"/>
              </w:rPr>
            </w:pPr>
            <w:r>
              <w:rPr>
                <w:rFonts w:ascii="Arial" w:hAnsi="Arial" w:cs="Arial"/>
                <w:bCs/>
                <w:sz w:val="18"/>
                <w:szCs w:val="18"/>
              </w:rPr>
              <w:t xml:space="preserve">≥ </w:t>
            </w:r>
            <w:r>
              <w:rPr>
                <w:rFonts w:ascii="Arial" w:hAnsi="Arial" w:cs="Arial"/>
                <w:bCs/>
                <w:sz w:val="18"/>
                <w:szCs w:val="18"/>
              </w:rPr>
              <w:t xml:space="preserve">100</w:t>
            </w:r>
            <w:r>
              <w:rPr>
                <w:rFonts w:ascii="Arial" w:hAnsi="Arial" w:cs="Arial"/>
                <w:bCs/>
                <w:sz w:val="18"/>
                <w:szCs w:val="18"/>
              </w:rPr>
              <w:t xml:space="preserve"> </w:t>
            </w:r>
            <w:r>
              <w:rPr>
                <w:rFonts w:ascii="Arial" w:hAnsi="Arial" w:cs="Arial"/>
                <w:bCs/>
                <w:sz w:val="18"/>
                <w:szCs w:val="18"/>
                <w:vertAlign w:val="superscript"/>
              </w:rPr>
              <w:t xml:space="preserve">c)</w:t>
            </w:r>
          </w:p>
        </w:tc>
        <w:tc>
          <w:tcPr>
            <w:tcW w:type="dxa" w:w="3687"/>
            <w:tcBorders/>
            <w:vAlign w:val="center"/>
          </w:tcPr>
          <w:p>
            <w:pPr>
              <w:pageBreakBefore/>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pirminė srovė parenkama iš standartinių verčių arba jų dešimtainių daugiklių pagal IEC 61869-2 punktą 5.201/</w:t>
            </w:r>
            <w:r>
              <w:rPr>
                <w:rFonts w:ascii="Arial" w:hAnsi="Arial" w:cs="Arial"/>
                <w:sz w:val="18"/>
                <w:szCs w:val="18"/>
                <w:lang w:val="en-US"/>
              </w:rPr>
              <w:t xml:space="preserve"> Rated primary current shall be chosen </w:t>
            </w:r>
            <w:r>
              <w:rPr>
                <w:rFonts w:ascii="Arial" w:hAnsi="Arial" w:cs="Arial"/>
                <w:sz w:val="18"/>
                <w:szCs w:val="18"/>
                <w:lang w:val="en-US"/>
              </w:rPr>
              <w:t xml:space="preserve">from</w:t>
            </w:r>
            <w:r>
              <w:rPr>
                <w:rFonts w:ascii="Arial" w:hAnsi="Arial" w:cs="Arial"/>
                <w:sz w:val="18"/>
                <w:szCs w:val="18"/>
                <w:lang w:val="en-US"/>
              </w:rPr>
              <w:t xml:space="preserve"> standard values </w:t>
            </w:r>
            <w:r>
              <w:rPr>
                <w:rFonts w:ascii="Arial" w:hAnsi="Arial" w:cs="Arial"/>
                <w:sz w:val="18"/>
                <w:szCs w:val="18"/>
                <w:lang w:val="en-US"/>
              </w:rPr>
              <w:t xml:space="preserve">or</w:t>
            </w:r>
            <w:r>
              <w:rPr>
                <w:rFonts w:ascii="Arial" w:hAnsi="Arial" w:cs="Arial"/>
                <w:sz w:val="18"/>
                <w:szCs w:val="18"/>
                <w:lang w:val="en-US"/>
              </w:rPr>
              <w:t xml:space="preserve"> their decimal multiplies according to IEC 61869-2 clause 5.201, (I</w:t>
            </w:r>
            <w:r>
              <w:rPr>
                <w:rFonts w:ascii="Arial" w:hAnsi="Arial" w:cs="Arial"/>
                <w:sz w:val="18"/>
                <w:szCs w:val="18"/>
                <w:vertAlign w:val="subscript"/>
                <w:lang w:val="en-US"/>
              </w:rPr>
              <w:t xml:space="preserve">pr</w:t>
            </w:r>
            <w:r>
              <w:rPr>
                <w:rFonts w:ascii="Arial" w:hAnsi="Arial" w:cs="Arial"/>
                <w:sz w:val="18"/>
                <w:szCs w:val="18"/>
                <w:lang w:val="en-US"/>
              </w:rPr>
              <w:t xml:space="preserve">), A </w:t>
            </w:r>
            <w:r>
              <w:rPr>
                <w:rFonts w:ascii="Arial" w:hAnsi="Arial" w:cs="Arial"/>
                <w:sz w:val="18"/>
                <w:szCs w:val="18"/>
                <w:vertAlign w:val="superscript"/>
                <w:lang w:val="en-US"/>
              </w:rPr>
              <w:t xml:space="preserve">5</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bCs/>
                <w:sz w:val="18"/>
                <w:szCs w:val="18"/>
              </w:rPr>
            </w:pPr>
            <w:r>
              <w:rPr>
                <w:rFonts w:ascii="Arial" w:hAnsi="Arial" w:cs="Arial"/>
                <w:sz w:val="18"/>
                <w:szCs w:val="18"/>
                <w:u w:val="single"/>
              </w:rPr>
              <w:t xml:space="preserve">10</w:t>
            </w:r>
            <w:r>
              <w:rPr>
                <w:rFonts w:ascii="Arial" w:hAnsi="Arial" w:cs="Arial"/>
                <w:sz w:val="18"/>
                <w:szCs w:val="18"/>
              </w:rPr>
              <w:t xml:space="preserve">-12,5-</w:t>
            </w:r>
            <w:r>
              <w:rPr>
                <w:rFonts w:ascii="Arial" w:hAnsi="Arial" w:cs="Arial"/>
                <w:sz w:val="18"/>
                <w:szCs w:val="18"/>
                <w:u w:val="single"/>
              </w:rPr>
              <w:t xml:space="preserve">15</w:t>
            </w:r>
            <w:r>
              <w:rPr>
                <w:rFonts w:ascii="Arial" w:hAnsi="Arial" w:cs="Arial"/>
                <w:sz w:val="18"/>
                <w:szCs w:val="18"/>
              </w:rPr>
              <w:t xml:space="preserve">-</w:t>
            </w:r>
            <w:r>
              <w:rPr>
                <w:rFonts w:ascii="Arial" w:hAnsi="Arial" w:cs="Arial"/>
                <w:sz w:val="18"/>
                <w:szCs w:val="18"/>
                <w:u w:val="single"/>
              </w:rPr>
              <w:t xml:space="preserve">20</w:t>
            </w:r>
            <w:r>
              <w:rPr>
                <w:rFonts w:ascii="Arial" w:hAnsi="Arial" w:cs="Arial"/>
                <w:sz w:val="18"/>
                <w:szCs w:val="18"/>
              </w:rPr>
              <w:t xml:space="preserve">-25-</w:t>
            </w:r>
            <w:r>
              <w:rPr>
                <w:rFonts w:ascii="Arial" w:hAnsi="Arial" w:cs="Arial"/>
                <w:sz w:val="18"/>
                <w:szCs w:val="18"/>
                <w:u w:val="single"/>
              </w:rPr>
              <w:t xml:space="preserve">30</w:t>
            </w:r>
            <w:r>
              <w:rPr>
                <w:rFonts w:ascii="Arial" w:hAnsi="Arial" w:cs="Arial"/>
                <w:sz w:val="18"/>
                <w:szCs w:val="18"/>
              </w:rPr>
              <w:t xml:space="preserve">-40-</w:t>
            </w:r>
            <w:r>
              <w:rPr>
                <w:rFonts w:ascii="Arial" w:hAnsi="Arial" w:cs="Arial"/>
                <w:sz w:val="18"/>
                <w:szCs w:val="18"/>
                <w:u w:val="single"/>
              </w:rPr>
              <w:t xml:space="preserve">50</w:t>
            </w:r>
            <w:r>
              <w:rPr>
                <w:rFonts w:ascii="Arial" w:hAnsi="Arial" w:cs="Arial"/>
                <w:sz w:val="18"/>
                <w:szCs w:val="18"/>
              </w:rPr>
              <w:t xml:space="preserve">-60-</w:t>
            </w:r>
            <w:r>
              <w:rPr>
                <w:rFonts w:ascii="Arial" w:hAnsi="Arial" w:cs="Arial"/>
                <w:sz w:val="18"/>
                <w:szCs w:val="18"/>
                <w:u w:val="single"/>
              </w:rPr>
              <w:t xml:space="preserve">75</w:t>
            </w:r>
            <w:r>
              <w:rPr>
                <w:rFonts w:ascii="Arial" w:hAnsi="Arial" w:cs="Arial"/>
                <w:sz w:val="18"/>
                <w:szCs w:val="18"/>
              </w:rPr>
              <w:t xml:space="preserve"> </w:t>
            </w:r>
            <w:r>
              <w:rPr>
                <w:rFonts w:ascii="Arial" w:hAnsi="Arial" w:cs="Arial"/>
                <w:sz w:val="18"/>
                <w:szCs w:val="18"/>
                <w:vertAlign w:val="superscript"/>
              </w:rPr>
              <w:t xml:space="preserve">c</w:t>
            </w:r>
            <w:r>
              <w:rPr>
                <w:rFonts w:ascii="Arial" w:hAnsi="Arial" w:cs="Arial"/>
                <w:bCs/>
                <w:sz w:val="18"/>
                <w:szCs w:val="18"/>
                <w:vertAlign w:val="superscript"/>
              </w:rPr>
              <w:t xml:space="preserve">)</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ilgalaikė terminė srovė procentais nuo I</w:t>
            </w:r>
            <w:r>
              <w:rPr>
                <w:rFonts w:ascii="Arial" w:hAnsi="Arial" w:cs="Arial"/>
                <w:sz w:val="18"/>
                <w:szCs w:val="18"/>
                <w:vertAlign w:val="subscript"/>
              </w:rPr>
              <w:t xml:space="preserve">pr</w:t>
            </w:r>
            <w:r>
              <w:rPr>
                <w:rFonts w:ascii="Arial" w:hAnsi="Arial" w:cs="Arial"/>
                <w:sz w:val="18"/>
                <w:szCs w:val="18"/>
              </w:rPr>
              <w:t xml:space="preserve">/</w:t>
            </w:r>
          </w:p>
          <w:p>
            <w:pPr>
              <w:spacing/>
              <w:rPr>
                <w:rFonts w:ascii="Arial" w:hAnsi="Arial" w:cs="Arial"/>
                <w:sz w:val="18"/>
                <w:szCs w:val="18"/>
              </w:rPr>
            </w:pPr>
            <w:r>
              <w:rPr>
                <w:rFonts w:ascii="Arial" w:hAnsi="Arial" w:cs="Arial"/>
                <w:sz w:val="18"/>
                <w:szCs w:val="18"/>
                <w:lang w:val="en-US"/>
              </w:rPr>
              <w:t xml:space="preserve">Rated continuous thermal current in percent of I</w:t>
            </w:r>
            <w:r>
              <w:rPr>
                <w:rFonts w:ascii="Arial" w:hAnsi="Arial" w:cs="Arial"/>
                <w:sz w:val="18"/>
                <w:szCs w:val="18"/>
                <w:vertAlign w:val="subscript"/>
                <w:lang w:val="en-US"/>
              </w:rPr>
              <w:t xml:space="preserve">pr</w:t>
            </w:r>
            <w:r>
              <w:rPr>
                <w:rFonts w:ascii="Arial" w:hAnsi="Arial" w:cs="Arial"/>
                <w:sz w:val="18"/>
                <w:szCs w:val="18"/>
                <w:lang w:val="en-US"/>
              </w:rPr>
              <w:t xml:space="preserve">, (I</w:t>
            </w:r>
            <w:r>
              <w:rPr>
                <w:rFonts w:ascii="Arial" w:hAnsi="Arial" w:cs="Arial"/>
                <w:sz w:val="18"/>
                <w:szCs w:val="18"/>
                <w:vertAlign w:val="subscript"/>
                <w:lang w:val="en-US"/>
              </w:rPr>
              <w:t xml:space="preserve">cth</w:t>
            </w:r>
            <w:r>
              <w:rPr>
                <w:rFonts w:ascii="Arial" w:hAnsi="Arial" w:cs="Arial"/>
                <w:sz w:val="18"/>
                <w:szCs w:val="18"/>
                <w:lang w:val="en-US"/>
              </w:rPr>
              <w:t xml:space="preserve">),</w:t>
            </w:r>
            <w:r>
              <w:rPr>
                <w:rFonts w:ascii="Arial" w:hAnsi="Arial" w:cs="Arial"/>
                <w:sz w:val="18"/>
                <w:szCs w:val="18"/>
                <w:lang w:val="en-US"/>
              </w:rPr>
              <w:t xml:space="preserve"> </w:t>
            </w:r>
            <w:r>
              <w:rPr>
                <w:rFonts w:ascii="Arial" w:hAnsi="Arial" w:cs="Arial"/>
                <w:sz w:val="18"/>
                <w:szCs w:val="18"/>
                <w:lang w:val="en-US"/>
              </w:rPr>
              <w:t xml:space="preserve">%</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150</w:t>
            </w:r>
          </w:p>
          <w:p>
            <w:pPr>
              <w:spacing/>
              <w:jc w:val="center"/>
              <w:rPr>
                <w:rFonts w:ascii="Arial" w:hAnsi="Arial" w:cs="Arial"/>
                <w:sz w:val="18"/>
                <w:szCs w:val="18"/>
                <w:lang w:val="en-US"/>
              </w:rPr>
            </w:pPr>
            <w:r>
              <w:rPr>
                <w:rFonts w:ascii="Arial" w:hAnsi="Arial" w:cs="Arial"/>
                <w:sz w:val="18"/>
                <w:szCs w:val="18"/>
              </w:rPr>
              <w:t xml:space="preserve">arba/ </w:t>
            </w:r>
            <w:r>
              <w:rPr>
                <w:rFonts w:ascii="Arial" w:hAnsi="Arial" w:cs="Arial"/>
                <w:sz w:val="18"/>
                <w:szCs w:val="18"/>
                <w:lang w:val="en-US"/>
              </w:rPr>
              <w:t xml:space="preserve">or</w:t>
            </w:r>
          </w:p>
          <w:p>
            <w:pPr>
              <w:spacing/>
              <w:jc w:val="center"/>
              <w:rPr>
                <w:rFonts w:ascii="Arial" w:hAnsi="Arial" w:cs="Arial"/>
                <w:sz w:val="18"/>
                <w:szCs w:val="18"/>
              </w:rPr>
            </w:pPr>
            <w:r>
              <w:rPr>
                <w:rFonts w:ascii="Arial" w:hAnsi="Arial" w:cs="Arial"/>
                <w:sz w:val="18"/>
                <w:szCs w:val="18"/>
              </w:rPr>
              <w:t xml:space="preserve">200 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p>
        </w:tc>
        <w:tc>
          <w:tcPr>
            <w:tcW w:type="dxa" w:w="3687"/>
            <w:gridSpan w:val="2"/>
            <w:tcBorders/>
            <w:vAlign w:val="center"/>
          </w:tcPr>
          <w:p>
            <w:pPr>
              <w:spacing/>
              <w:rPr>
                <w:rFonts w:ascii="Arial" w:hAnsi="Arial" w:cs="Arial"/>
                <w:sz w:val="18"/>
                <w:szCs w:val="18"/>
              </w:rPr>
            </w:pPr>
            <w:r>
              <w:rPr>
                <w:rFonts w:ascii="Arial" w:hAnsi="Arial" w:cs="Arial"/>
                <w:sz w:val="18"/>
                <w:szCs w:val="18"/>
              </w:rPr>
              <w:t xml:space="preserve">Vardinė ilgalaikė terminė srovė/</w:t>
            </w:r>
          </w:p>
          <w:p>
            <w:pPr>
              <w:spacing/>
              <w:rPr>
                <w:rFonts w:ascii="Arial" w:hAnsi="Arial" w:cs="Arial"/>
                <w:sz w:val="18"/>
                <w:szCs w:val="18"/>
              </w:rPr>
            </w:pPr>
            <w:r>
              <w:rPr>
                <w:rFonts w:ascii="Arial" w:hAnsi="Arial" w:cs="Arial"/>
                <w:sz w:val="18"/>
                <w:szCs w:val="18"/>
                <w:lang w:val="en-US"/>
              </w:rPr>
              <w:t xml:space="preserve">Rated continuous thermal current (I</w:t>
            </w:r>
            <w:r>
              <w:rPr>
                <w:rFonts w:ascii="Arial" w:hAnsi="Arial" w:cs="Arial"/>
                <w:sz w:val="18"/>
                <w:szCs w:val="18"/>
                <w:vertAlign w:val="subscript"/>
                <w:lang w:val="en-US"/>
              </w:rPr>
              <w:t xml:space="preserve">cth</w:t>
            </w:r>
            <w:r>
              <w:rPr>
                <w:rFonts w:ascii="Arial" w:hAnsi="Arial" w:cs="Arial"/>
                <w:sz w:val="18"/>
                <w:szCs w:val="18"/>
                <w:lang w:val="en-US"/>
              </w:rPr>
              <w:t xml:space="preserve">), A </w:t>
            </w:r>
            <w:r>
              <w:rPr>
                <w:rFonts w:ascii="Arial" w:hAnsi="Arial" w:cs="Arial"/>
                <w:sz w:val="18"/>
                <w:szCs w:val="18"/>
                <w:vertAlign w:val="superscript"/>
                <w:lang w:val="en-US"/>
              </w:rPr>
              <w:t xml:space="preserve">6</w:t>
            </w:r>
            <w:r>
              <w:rPr>
                <w:rFonts w:ascii="Arial" w:hAnsi="Arial" w:cs="Arial"/>
                <w:sz w:val="18"/>
                <w:szCs w:val="18"/>
                <w:vertAlign w:val="superscript"/>
                <w:lang w:val="en-US"/>
              </w:rPr>
              <w:t xml:space="preserve">)</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w:t>
            </w:r>
            <w:r>
              <w:rPr>
                <w:rFonts w:ascii="Arial" w:hAnsi="Arial" w:cs="Arial"/>
                <w:sz w:val="18"/>
                <w:szCs w:val="18"/>
                <w:vertAlign w:val="superscript"/>
              </w:rPr>
              <w:t xml:space="preserve">a)</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r>
              <w:rPr>
                <w:rFonts w:ascii="Arial" w:hAnsi="Arial" w:cs="Arial"/>
                <w:sz w:val="18"/>
                <w:szCs w:val="18"/>
              </w:rPr>
              <w:br w:type="page"/>
            </w:r>
          </w:p>
        </w:tc>
        <w:tc>
          <w:tcPr>
            <w:tcW w:type="dxa" w:w="3687"/>
            <w:gridSpan w:val="2"/>
            <w:tcBorders/>
          </w:tcPr>
          <w:p>
            <w:pPr>
              <w:spacing/>
              <w:rPr>
                <w:rFonts w:ascii="Arial" w:hAnsi="Arial" w:cs="Arial"/>
                <w:sz w:val="18"/>
                <w:szCs w:val="18"/>
              </w:rPr>
            </w:pPr>
            <w:r>
              <w:rPr>
                <w:rFonts w:ascii="Arial" w:hAnsi="Arial" w:cs="Arial"/>
                <w:sz w:val="18"/>
                <w:szCs w:val="18"/>
              </w:rPr>
              <w:t xml:space="preserve">Matavimo apvijų transformacijos koeficiento keitimo galimybė/</w:t>
            </w:r>
          </w:p>
          <w:p>
            <w:pPr>
              <w:spacing/>
              <w:rPr>
                <w:rFonts w:ascii="Arial" w:hAnsi="Arial" w:cs="Arial"/>
                <w:sz w:val="18"/>
                <w:szCs w:val="18"/>
              </w:rPr>
            </w:pPr>
            <w:r>
              <w:rPr>
                <w:rFonts w:ascii="Arial" w:hAnsi="Arial" w:cs="Arial"/>
                <w:sz w:val="18"/>
                <w:szCs w:val="18"/>
                <w:lang w:val="en-US"/>
              </w:rPr>
              <w:t xml:space="preserve">Possibility to change transformation ratio of metering winding</w:t>
            </w:r>
          </w:p>
        </w:tc>
        <w:tc>
          <w:tcPr>
            <w:tcW w:type="dxa" w:w="3687"/>
            <w:tcBorders/>
            <w:vAlign w:val="center"/>
          </w:tcPr>
          <w:p>
            <w:pPr>
              <w:spacing/>
              <w:jc w:val="center"/>
              <w:rPr>
                <w:rFonts w:ascii="Arial" w:hAnsi="Arial" w:cs="Arial"/>
                <w:sz w:val="18"/>
                <w:szCs w:val="18"/>
                <w:lang w:val="en-US"/>
              </w:rPr>
            </w:pPr>
            <w:r>
              <w:rPr>
                <w:rFonts w:ascii="Arial" w:hAnsi="Arial" w:cs="Arial"/>
                <w:sz w:val="18"/>
                <w:szCs w:val="18"/>
              </w:rPr>
              <w:t xml:space="preserve">Tik naudojant atšakas antrinėse srovės matavimo apvijose/</w:t>
            </w:r>
          </w:p>
          <w:p>
            <w:pPr>
              <w:spacing/>
              <w:jc w:val="center"/>
              <w:rPr>
                <w:rFonts w:ascii="Arial" w:hAnsi="Arial" w:cs="Arial"/>
                <w:sz w:val="18"/>
                <w:szCs w:val="18"/>
              </w:rPr>
            </w:pPr>
            <w:r>
              <w:rPr>
                <w:rFonts w:ascii="Arial" w:hAnsi="Arial" w:cs="Arial"/>
                <w:sz w:val="18"/>
                <w:szCs w:val="18"/>
                <w:lang w:val="en-US"/>
              </w:rPr>
              <w:t xml:space="preserve">Only by taps installed in secondary windings </w:t>
            </w:r>
            <w:r>
              <w:rPr>
                <w:rFonts w:ascii="Arial" w:hAnsi="Arial" w:cs="Arial"/>
                <w:sz w:val="18"/>
                <w:szCs w:val="18"/>
                <w:vertAlign w:val="superscript"/>
                <w:lang w:val="en-US"/>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9"/>
              </w:numPr>
              <w:spacing/>
              <w:rPr>
                <w:rFonts w:ascii="Arial" w:hAnsi="Arial" w:cs="Arial"/>
                <w:sz w:val="18"/>
                <w:szCs w:val="18"/>
              </w:rPr>
            </w:pPr>
            <w:r>
              <w:rPr>
                <w:rFonts w:ascii="Arial" w:hAnsi="Arial" w:cs="Arial"/>
                <w:sz w:val="18"/>
                <w:szCs w:val="18"/>
              </w:rPr>
              <w:br w:type="page"/>
            </w:r>
          </w:p>
        </w:tc>
        <w:tc>
          <w:tcPr>
            <w:tcW w:type="dxa" w:w="3687"/>
            <w:gridSpan w:val="2"/>
            <w:tcBorders/>
          </w:tcPr>
          <w:p>
            <w:pPr>
              <w:spacing/>
              <w:rPr>
                <w:rFonts w:ascii="Arial" w:hAnsi="Arial" w:cs="Arial"/>
                <w:sz w:val="18"/>
                <w:szCs w:val="18"/>
              </w:rPr>
            </w:pPr>
            <w:r>
              <w:rPr>
                <w:rFonts w:ascii="Arial" w:hAnsi="Arial" w:cs="Arial"/>
                <w:sz w:val="18"/>
                <w:szCs w:val="18"/>
              </w:rPr>
              <w:t xml:space="preserve">Maksimalus leistinas skirtingų transformacijos koeficientų kiekis vienai matavimo apvijai/</w:t>
            </w:r>
          </w:p>
          <w:p>
            <w:pPr>
              <w:spacing/>
              <w:rPr>
                <w:rFonts w:ascii="Arial" w:hAnsi="Arial" w:cs="Arial"/>
                <w:sz w:val="18"/>
                <w:szCs w:val="18"/>
              </w:rPr>
            </w:pPr>
            <w:r>
              <w:rPr>
                <w:rFonts w:ascii="Arial" w:hAnsi="Arial" w:cs="Arial"/>
                <w:sz w:val="18"/>
                <w:szCs w:val="18"/>
                <w:lang w:val="en-US"/>
              </w:rPr>
              <w:t xml:space="preserve">Maximum permissible number of different ratios for one secondary metering winding</w:t>
            </w:r>
          </w:p>
        </w:tc>
        <w:tc>
          <w:tcPr>
            <w:tcW w:type="dxa" w:w="3687"/>
            <w:tcBorders/>
            <w:vAlign w:val="center"/>
          </w:tcPr>
          <w:p>
            <w:pPr>
              <w:spacing/>
              <w:jc w:val="center"/>
              <w:rPr>
                <w:rFonts w:ascii="Arial" w:hAnsi="Arial" w:cs="Arial"/>
                <w:sz w:val="18"/>
                <w:szCs w:val="18"/>
              </w:rPr>
            </w:pPr>
            <w:r>
              <w:rPr>
                <w:rFonts w:ascii="Arial" w:hAnsi="Arial" w:cs="Arial"/>
                <w:sz w:val="18"/>
                <w:szCs w:val="18"/>
              </w:rPr>
              <w:t xml:space="preserve">2 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3.</w:t>
            </w:r>
          </w:p>
        </w:tc>
        <w:tc>
          <w:tcPr>
            <w:tcW w:type="dxa" w:w="14458"/>
            <w:gridSpan w:val="6"/>
            <w:tcBorders/>
          </w:tcPr>
          <w:p>
            <w:pPr>
              <w:spacing/>
              <w:jc w:val="center"/>
              <w:rPr>
                <w:rFonts w:ascii="Arial" w:hAnsi="Arial" w:cs="Arial"/>
                <w:b/>
                <w:bCs/>
                <w:sz w:val="18"/>
                <w:szCs w:val="18"/>
              </w:rPr>
            </w:pPr>
            <w:r>
              <w:rPr>
                <w:rFonts w:ascii="Arial" w:hAnsi="Arial" w:cs="Arial"/>
                <w:b/>
                <w:bCs/>
                <w:sz w:val="18"/>
                <w:szCs w:val="18"/>
              </w:rPr>
              <w:t xml:space="preserve">Papildomi reikalavimai įtampos matavimo transformatoriams/ </w:t>
            </w:r>
            <w:r>
              <w:rPr>
                <w:rFonts w:ascii="Arial" w:hAnsi="Arial" w:cs="Arial"/>
                <w:b/>
                <w:bCs/>
                <w:sz w:val="18"/>
                <w:szCs w:val="18"/>
                <w:lang w:val="en-US"/>
              </w:rPr>
              <w:t xml:space="preserve">Additional requirements for voltage instrument transformers</w:t>
            </w:r>
          </w:p>
        </w:tc>
      </w:tr>
      <w:tr>
        <w:trPr>
          <w:trHeight w:val="416" w:hRule="atLeast"/>
        </w:trPr>
        <w:tc>
          <w:tcPr>
            <w:tcW w:type="dxa" w:w="705"/>
            <w:vMerge w:val="restart"/>
            <w:tcBorders/>
            <w:vAlign w:val="center"/>
          </w:tcPr>
          <w:p>
            <w:pPr>
              <w:pStyle w:val="ListParagraph"/>
              <w:numPr>
                <w:ilvl w:val="0"/>
                <w:numId w:val="28"/>
              </w:numPr>
              <w:spacing/>
              <w:rPr>
                <w:rFonts w:ascii="Arial" w:hAnsi="Arial" w:cs="Arial"/>
                <w:sz w:val="18"/>
                <w:szCs w:val="18"/>
              </w:rPr>
            </w:pPr>
          </w:p>
        </w:tc>
        <w:tc>
          <w:tcPr>
            <w:tcW w:type="dxa" w:w="2267"/>
            <w:vMerge w:val="restart"/>
            <w:tcBorders/>
            <w:vAlign w:val="center"/>
          </w:tcPr>
          <w:p>
            <w:pPr>
              <w:spacing/>
              <w:rPr>
                <w:rFonts w:ascii="Arial" w:hAnsi="Arial" w:cs="Arial"/>
                <w:sz w:val="18"/>
                <w:szCs w:val="18"/>
              </w:rPr>
            </w:pPr>
            <w:r>
              <w:rPr>
                <w:rFonts w:ascii="Arial" w:hAnsi="Arial" w:cs="Arial"/>
                <w:sz w:val="18"/>
                <w:szCs w:val="18"/>
              </w:rPr>
              <w:t xml:space="preserve">Vardinis įtampos faktorius/</w:t>
            </w:r>
          </w:p>
          <w:p>
            <w:pPr>
              <w:spacing/>
              <w:rPr>
                <w:rFonts w:ascii="Arial" w:hAnsi="Arial" w:cs="Arial"/>
                <w:sz w:val="18"/>
                <w:szCs w:val="18"/>
                <w:vertAlign w:val="superscript"/>
              </w:rPr>
            </w:pPr>
            <w:r>
              <w:rPr>
                <w:rFonts w:ascii="Arial" w:hAnsi="Arial" w:cs="Arial"/>
                <w:sz w:val="18"/>
                <w:szCs w:val="18"/>
                <w:lang w:val="en-US"/>
              </w:rPr>
              <w:t xml:space="preserve">Rated voltage factor, (F</w:t>
            </w:r>
            <w:r>
              <w:rPr>
                <w:rFonts w:ascii="Arial" w:hAnsi="Arial" w:cs="Arial"/>
                <w:sz w:val="18"/>
                <w:szCs w:val="18"/>
                <w:vertAlign w:val="subscript"/>
                <w:lang w:val="en-US"/>
              </w:rPr>
              <w:t xml:space="preserve">v</w:t>
            </w:r>
            <w:r>
              <w:rPr>
                <w:rFonts w:ascii="Arial" w:hAnsi="Arial" w:cs="Arial"/>
                <w:sz w:val="18"/>
                <w:szCs w:val="18"/>
                <w:lang w:val="en-US"/>
              </w:rPr>
              <w:t xml:space="preserve">) </w:t>
            </w:r>
            <w:r>
              <w:rPr>
                <w:rFonts w:ascii="Arial" w:hAnsi="Arial" w:cs="Arial"/>
                <w:sz w:val="18"/>
                <w:szCs w:val="18"/>
                <w:vertAlign w:val="superscript"/>
                <w:lang w:val="en-US"/>
              </w:rPr>
              <w:t xml:space="preserve">2</w:t>
            </w:r>
            <w:r>
              <w:rPr>
                <w:rFonts w:ascii="Arial" w:hAnsi="Arial" w:cs="Arial"/>
                <w:sz w:val="18"/>
                <w:szCs w:val="18"/>
                <w:vertAlign w:val="superscript"/>
                <w:lang w:val="en-US"/>
              </w:rPr>
              <w:t xml:space="preserve">)</w:t>
            </w: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Ilgalaikis/</w:t>
            </w:r>
          </w:p>
          <w:p>
            <w:pPr>
              <w:spacing/>
              <w:jc w:val="center"/>
              <w:rPr>
                <w:rFonts w:ascii="Arial" w:hAnsi="Arial" w:cs="Arial"/>
                <w:sz w:val="18"/>
                <w:szCs w:val="18"/>
                <w:lang w:val="en-US"/>
              </w:rPr>
            </w:pPr>
            <w:r>
              <w:rPr>
                <w:rFonts w:ascii="Arial" w:hAnsi="Arial" w:cs="Arial"/>
                <w:sz w:val="18"/>
                <w:szCs w:val="18"/>
                <w:lang w:val="en-US"/>
              </w:rPr>
              <w:t xml:space="preserve">Continuous</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1,2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r>
        <w:trPr>
          <w:trHeight w:val="414" w:hRule="atLeast"/>
        </w:trPr>
        <w:tc>
          <w:tcPr>
            <w:tcW w:type="dxa" w:w="705"/>
            <w:vMerge w:val="continue"/>
            <w:tcBorders/>
            <w:vAlign w:val="center"/>
          </w:tcPr>
          <w:p>
            <w:pPr>
              <w:spacing/>
              <w:rPr>
                <w:rFonts w:ascii="Arial" w:hAnsi="Arial" w:cs="Arial"/>
                <w:sz w:val="18"/>
                <w:szCs w:val="18"/>
              </w:rPr>
            </w:pPr>
          </w:p>
        </w:tc>
        <w:tc>
          <w:tcPr>
            <w:tcW w:type="dxa" w:w="2267"/>
            <w:vMerge w:val="continue"/>
            <w:tcBorders/>
          </w:tcPr>
          <w:p>
            <w:pPr>
              <w:spacing/>
              <w:jc w:val="both"/>
              <w:rPr>
                <w:rFonts w:ascii="Arial" w:hAnsi="Arial" w:cs="Arial"/>
                <w:sz w:val="18"/>
                <w:szCs w:val="18"/>
              </w:rPr>
            </w:pPr>
          </w:p>
        </w:tc>
        <w:tc>
          <w:tcPr>
            <w:tcW w:type="dxa" w:w="1420"/>
            <w:tcBorders/>
            <w:vAlign w:val="center"/>
          </w:tcPr>
          <w:p>
            <w:pPr>
              <w:spacing/>
              <w:jc w:val="center"/>
              <w:rPr>
                <w:rFonts w:ascii="Arial" w:hAnsi="Arial" w:cs="Arial"/>
                <w:sz w:val="18"/>
                <w:szCs w:val="18"/>
              </w:rPr>
            </w:pPr>
            <w:r>
              <w:rPr>
                <w:rFonts w:ascii="Arial" w:hAnsi="Arial" w:cs="Arial"/>
                <w:sz w:val="18"/>
                <w:szCs w:val="18"/>
              </w:rPr>
              <w:t xml:space="preserve">30 s</w:t>
            </w:r>
          </w:p>
        </w:tc>
        <w:tc>
          <w:tcPr>
            <w:tcW w:type="dxa" w:w="3687"/>
            <w:tcBorders/>
            <w:vAlign w:val="center"/>
          </w:tcPr>
          <w:p>
            <w:pPr>
              <w:spacing/>
              <w:jc w:val="center"/>
              <w:rPr>
                <w:rFonts w:ascii="Arial" w:hAnsi="Arial" w:cs="Arial"/>
                <w:sz w:val="18"/>
                <w:szCs w:val="18"/>
                <w:vertAlign w:val="superscript"/>
              </w:rPr>
            </w:pPr>
            <w:r>
              <w:rPr>
                <w:rFonts w:ascii="Arial" w:hAnsi="Arial" w:cs="Arial"/>
                <w:sz w:val="18"/>
                <w:szCs w:val="18"/>
              </w:rPr>
              <w:t xml:space="preserve">≥ 1,5 </w:t>
            </w:r>
            <w:r>
              <w:rPr>
                <w:rFonts w:ascii="Arial" w:hAnsi="Arial" w:cs="Arial"/>
                <w:sz w:val="18"/>
                <w:szCs w:val="18"/>
                <w:vertAlign w:val="superscript"/>
              </w:rPr>
              <w:t xml:space="preserve">c)</w:t>
            </w:r>
          </w:p>
        </w:tc>
        <w:tc>
          <w:tcPr>
            <w:tcW w:type="dxa" w:w="3687"/>
            <w:tcBorders/>
            <w:vAlign w:val="center"/>
          </w:tcPr>
          <w:p>
            <w:pPr>
              <w:spacing/>
              <w:jc w:val="center"/>
              <w:rPr>
                <w:rFonts w:ascii="Arial" w:hAnsi="Arial" w:cs="Arial"/>
                <w:sz w:val="18"/>
                <w:szCs w:val="18"/>
              </w:rPr>
            </w:pPr>
          </w:p>
        </w:tc>
        <w:tc>
          <w:tcPr>
            <w:tcW w:type="dxa" w:w="2406"/>
            <w:tcBorders/>
            <w:vAlign w:val="center"/>
          </w:tcPr>
          <w:p>
            <w:pPr>
              <w:spacing/>
              <w:jc w:val="center"/>
              <w:rPr>
                <w:rFonts w:ascii="Arial" w:hAnsi="Arial" w:cs="Arial"/>
                <w:sz w:val="18"/>
                <w:szCs w:val="18"/>
              </w:rPr>
            </w:pPr>
          </w:p>
        </w:tc>
        <w:tc>
          <w:tcPr>
            <w:tcW w:type="dxa" w:w="991"/>
            <w:tcBorders/>
            <w:vAlign w:val="center"/>
          </w:tcPr>
          <w:p>
            <w:pPr>
              <w:spacing/>
              <w:jc w:val="center"/>
              <w:rPr>
                <w:rFonts w:ascii="Arial" w:hAnsi="Arial" w:cs="Arial"/>
                <w:sz w:val="18"/>
                <w:szCs w:val="18"/>
              </w:rPr>
            </w:pPr>
          </w:p>
        </w:tc>
      </w:tr>
    </w:tbl>
    <w:p w14:paraId="29282ACD">
      <w:pPr>
        <w:spacing/>
        <w:rPr>
          <w:rFonts w:ascii="Arial" w:hAnsi="Arial" w:cs="Arial"/>
        </w:rPr>
      </w:pPr>
      <w:r>
        <w:rPr>
          <w:rFonts w:ascii="Arial" w:hAnsi="Arial" w:cs="Arial"/>
        </w:rPr>
        <w:br w:type="page"/>
      </w: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trPr/>
        <w:tc>
          <w:tcPr>
            <w:tcW w:type="dxa" w:w="705"/>
            <w:tcBorders/>
            <w:vAlign w:val="center"/>
          </w:tcPr>
          <w:p>
            <w:pPr>
              <w:spacing/>
              <w:jc w:val="center"/>
              <w:rPr>
                <w:rFonts w:ascii="Arial" w:hAnsi="Arial" w:cs="Arial"/>
                <w:sz w:val="18"/>
                <w:szCs w:val="18"/>
              </w:rPr>
            </w:pPr>
            <w:r>
              <w:rPr>
                <w:rFonts w:ascii="Arial" w:hAnsi="Arial" w:cs="Arial"/>
                <w:sz w:val="18"/>
                <w:szCs w:val="18"/>
              </w:rPr>
              <w:t xml:space="preserve">4.</w:t>
            </w:r>
          </w:p>
        </w:tc>
        <w:tc>
          <w:tcPr>
            <w:tcW w:type="dxa" w:w="11061"/>
            <w:gridSpan w:val="6"/>
            <w:tcBorders/>
            <w:vAlign w:val="center"/>
          </w:tcPr>
          <w:p>
            <w:pPr>
              <w:spacing/>
              <w:jc w:val="center"/>
              <w:rPr>
                <w:rFonts w:ascii="Arial" w:hAnsi="Arial" w:cs="Arial"/>
                <w:b/>
                <w:bCs/>
                <w:sz w:val="18"/>
                <w:szCs w:val="18"/>
                <w:vertAlign w:val="superscript"/>
                <w:lang w:val="en-US"/>
              </w:rPr>
            </w:pPr>
            <w:r>
              <w:rPr>
                <w:rFonts w:ascii="Arial" w:hAnsi="Arial" w:cs="Arial"/>
                <w:b/>
                <w:bCs/>
                <w:sz w:val="18"/>
                <w:szCs w:val="18"/>
              </w:rPr>
              <w:t xml:space="preserve">Srovės transformatorių šerdžių vardinės charakteristikos/</w:t>
            </w:r>
            <w:r>
              <w:rPr>
                <w:rFonts w:ascii="Arial" w:hAnsi="Arial" w:cs="Arial"/>
                <w:b/>
                <w:bCs/>
                <w:sz w:val="18"/>
                <w:szCs w:val="18"/>
              </w:rPr>
              <w:t xml:space="preserve"> </w:t>
            </w:r>
            <w:r>
              <w:rPr>
                <w:rFonts w:ascii="Arial" w:hAnsi="Arial" w:cs="Arial"/>
                <w:b/>
                <w:bCs/>
                <w:sz w:val="18"/>
                <w:szCs w:val="18"/>
                <w:lang w:val="en-US"/>
              </w:rPr>
              <w:t xml:space="preserve">Rated values of cores of current transformers </w:t>
            </w:r>
            <w:r>
              <w:rPr>
                <w:rFonts w:ascii="Arial" w:hAnsi="Arial" w:cs="Arial"/>
                <w:b/>
                <w:bCs/>
                <w:sz w:val="18"/>
                <w:szCs w:val="18"/>
                <w:vertAlign w:val="superscript"/>
                <w:lang w:val="en-US"/>
              </w:rPr>
              <w:t xml:space="preserve">c)</w:t>
            </w:r>
          </w:p>
          <w:p>
            <w:pPr>
              <w:spacing/>
              <w:jc w:val="both"/>
              <w:rPr>
                <w:rFonts w:ascii="Arial" w:hAnsi="Arial" w:cs="Arial"/>
                <w:b/>
                <w:bCs/>
                <w:sz w:val="18"/>
                <w:szCs w:val="18"/>
                <w:lang w:val="en-US"/>
              </w:rPr>
            </w:pPr>
            <w:r>
              <w:rPr>
                <w:rFonts w:ascii="Arial" w:hAnsi="Arial" w:cs="Arial"/>
                <w:b/>
                <w:bCs/>
                <w:sz w:val="18"/>
                <w:szCs w:val="18"/>
              </w:rPr>
              <w:t xml:space="preserve">Pastabos:/ </w:t>
            </w:r>
            <w:r>
              <w:rPr>
                <w:rFonts w:ascii="Arial" w:hAnsi="Arial" w:cs="Arial"/>
                <w:b/>
                <w:bCs/>
                <w:sz w:val="18"/>
                <w:szCs w:val="18"/>
                <w:lang w:val="en-US"/>
              </w:rPr>
              <w:t xml:space="preserve">Notes:</w:t>
            </w:r>
          </w:p>
          <w:p>
            <w:pPr>
              <w:spacing/>
              <w:jc w:val="both"/>
              <w:rPr>
                <w:rFonts w:ascii="Arial" w:hAnsi="Arial" w:cs="Arial"/>
                <w:b/>
                <w:bCs/>
                <w:sz w:val="18"/>
                <w:szCs w:val="18"/>
                <w:lang w:val="en-US"/>
              </w:rPr>
            </w:pPr>
            <w:r>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confirmed.</w:t>
            </w:r>
          </w:p>
          <w:p>
            <w:pPr>
              <w:spacing/>
              <w:jc w:val="both"/>
              <w:rPr>
                <w:rFonts w:ascii="Arial" w:hAnsi="Arial" w:cs="Arial"/>
                <w:b/>
                <w:bCs/>
                <w:sz w:val="18"/>
                <w:szCs w:val="18"/>
              </w:rPr>
            </w:pPr>
            <w:r>
              <w:rPr>
                <w:rFonts w:ascii="Arial" w:hAnsi="Arial" w:cs="Arial"/>
                <w:sz w:val="18"/>
                <w:szCs w:val="18"/>
                <w:lang w:val="en-US"/>
              </w:rPr>
              <w:t xml:space="preserve">2. </w:t>
            </w:r>
            <w:r>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Pr>
                <w:rFonts w:ascii="Arial" w:hAnsi="Arial" w:cs="Arial"/>
                <w:sz w:val="18"/>
                <w:szCs w:val="18"/>
                <w:lang w:val="en-US"/>
              </w:rPr>
              <w:t xml:space="preserve">The exact number of cores and windings shall be selected and agreed with TSO at the project preparation. The values below are only given as an example only for filling the specification.</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1S1 – 1S3</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2S1 – 2S2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3S1 – 3S2</w:t>
            </w:r>
          </w:p>
        </w:tc>
        <w:tc>
          <w:tcPr>
            <w:tcW w:type="dxa" w:w="1844"/>
            <w:tcBorders/>
          </w:tcPr>
          <w:p>
            <w:pPr>
              <w:spacing/>
              <w:jc w:val="center"/>
              <w:rPr>
                <w:rFonts w:ascii="Arial" w:hAnsi="Arial" w:cs="Arial"/>
                <w:sz w:val="18"/>
                <w:szCs w:val="18"/>
              </w:rPr>
            </w:pPr>
            <w:r>
              <w:rPr>
                <w:rFonts w:ascii="Arial" w:hAnsi="Arial" w:cs="Arial"/>
                <w:color w:val="A6A6A6"/>
                <w:sz w:val="18"/>
                <w:szCs w:val="18"/>
              </w:rPr>
              <w:t xml:space="preserve">4S1 – 4S2</w:t>
            </w:r>
          </w:p>
        </w:tc>
        <w:tc>
          <w:tcPr>
            <w:tcW w:type="dxa" w:w="1843"/>
            <w:tcBorders/>
          </w:tcPr>
          <w:p>
            <w:pPr>
              <w:spacing/>
              <w:jc w:val="center"/>
              <w:rPr>
                <w:rFonts w:ascii="Arial" w:hAnsi="Arial" w:cs="Arial"/>
                <w:sz w:val="18"/>
                <w:szCs w:val="18"/>
              </w:rPr>
            </w:pPr>
            <w:r>
              <w:rPr>
                <w:rFonts w:ascii="Arial" w:hAnsi="Arial" w:cs="Arial"/>
                <w:color w:val="A6A6A6"/>
                <w:sz w:val="18"/>
                <w:szCs w:val="18"/>
              </w:rPr>
              <w:t xml:space="preserve">5S1 – 5S2</w:t>
            </w:r>
          </w:p>
        </w:tc>
        <w:tc>
          <w:tcPr>
            <w:tcW w:type="dxa" w:w="1844"/>
            <w:tcBorders/>
          </w:tcPr>
          <w:p>
            <w:pPr>
              <w:spacing/>
              <w:jc w:val="center"/>
              <w:rPr>
                <w:rFonts w:ascii="Arial" w:hAnsi="Arial" w:cs="Arial"/>
                <w:sz w:val="18"/>
                <w:szCs w:val="18"/>
              </w:rPr>
            </w:pPr>
            <w:r>
              <w:rPr>
                <w:rFonts w:ascii="Arial" w:hAnsi="Arial" w:cs="Arial"/>
                <w:color w:val="A6A6A6"/>
                <w:sz w:val="18"/>
                <w:szCs w:val="18"/>
              </w:rPr>
              <w:t xml:space="preserve">6S1 – 6S2</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300-600/1 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600/1 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0.2S</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5P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19"/>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FS5</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20</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shd w:fill="auto" w:color="auto" w:val="clear"/>
            <w:vAlign w:val="center"/>
          </w:tcPr>
          <w:p>
            <w:pPr>
              <w:pStyle w:val="ListParagraph"/>
              <w:numPr>
                <w:ilvl w:val="0"/>
                <w:numId w:val="19"/>
              </w:numPr>
              <w:spacing/>
              <w:rPr>
                <w:rFonts w:ascii="Arial" w:hAnsi="Arial" w:cs="Arial"/>
                <w:sz w:val="18"/>
                <w:szCs w:val="18"/>
              </w:rPr>
            </w:pPr>
          </w:p>
        </w:tc>
        <w:tc>
          <w:tcPr>
            <w:tcW w:type="dxa" w:w="1843"/>
            <w:tcBorders/>
            <w:shd w:fill="auto" w:color="auto" w:val="clear"/>
          </w:tcPr>
          <w:p>
            <w:pPr>
              <w:spacing/>
              <w:jc w:val="center"/>
              <w:rPr>
                <w:rFonts w:ascii="Arial" w:hAnsi="Arial" w:cs="Arial"/>
                <w:color w:val="A6A6A6"/>
                <w:sz w:val="18"/>
                <w:szCs w:val="18"/>
              </w:rPr>
            </w:pPr>
            <w:r>
              <w:rPr>
                <w:rFonts w:ascii="Arial" w:hAnsi="Arial" w:cs="Arial"/>
                <w:color w:val="A6A6A6"/>
                <w:sz w:val="18"/>
                <w:szCs w:val="18"/>
              </w:rPr>
              <w:t xml:space="preserve">Netaikoma/</w:t>
            </w:r>
          </w:p>
          <w:p>
            <w:pPr>
              <w:spacing/>
              <w:jc w:val="center"/>
              <w:rPr>
                <w:rFonts w:ascii="Arial" w:hAnsi="Arial" w:cs="Arial"/>
                <w:color w:val="A6A6A6"/>
                <w:sz w:val="18"/>
                <w:szCs w:val="18"/>
              </w:rPr>
            </w:pPr>
            <w:r>
              <w:rPr>
                <w:rFonts w:ascii="Arial" w:hAnsi="Arial" w:cs="Arial"/>
                <w:color w:val="A6A6A6"/>
                <w:sz w:val="18"/>
                <w:szCs w:val="18"/>
                <w:lang w:val="en-US"/>
              </w:rPr>
              <w:t xml:space="preserve">Not applicable</w:t>
            </w:r>
          </w:p>
        </w:tc>
        <w:tc>
          <w:tcPr>
            <w:tcW w:type="dxa" w:w="1844"/>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3"/>
            <w:tcBorders/>
            <w:shd w:fill="auto" w:color="auto" w:val="clear"/>
            <w:vAlign w:val="center"/>
          </w:tcPr>
          <w:p>
            <w:pPr>
              <w:spacing/>
              <w:jc w:val="center"/>
              <w:rPr>
                <w:rFonts w:ascii="Arial" w:hAnsi="Arial" w:cs="Arial"/>
                <w:color w:val="A6A6A6"/>
                <w:sz w:val="18"/>
                <w:szCs w:val="18"/>
              </w:rPr>
            </w:pPr>
            <w:r>
              <w:rPr>
                <w:rFonts w:ascii="Arial" w:hAnsi="Arial" w:cs="Arial"/>
                <w:color w:val="A6A6A6"/>
                <w:sz w:val="18"/>
                <w:szCs w:val="18"/>
              </w:rPr>
              <w:t xml:space="preserve">4 Ω</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3"/>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1844"/>
            <w:tcBorders/>
            <w:shd w:fill="auto" w:color="auto" w:val="clear"/>
            <w:vAlign w:val="center"/>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shd w:fill="auto" w:color="auto" w:val="clear"/>
            <w:vAlign w:val="center"/>
          </w:tcPr>
          <w:p>
            <w:pPr>
              <w:spacing/>
              <w:jc w:val="center"/>
              <w:rPr>
                <w:rFonts w:ascii="Arial" w:hAnsi="Arial" w:cs="Arial"/>
                <w:sz w:val="18"/>
                <w:szCs w:val="18"/>
              </w:rPr>
            </w:pPr>
          </w:p>
        </w:tc>
        <w:tc>
          <w:tcPr>
            <w:tcW w:type="dxa" w:w="991"/>
            <w:vMerge w:val="continue"/>
            <w:tcBorders/>
            <w:shd w:fill="auto" w:color="auto" w:val="clear"/>
            <w:vAlign w:val="center"/>
          </w:tcPr>
          <w:p>
            <w:pPr>
              <w:spacing/>
              <w:jc w:val="center"/>
              <w:rPr>
                <w:rFonts w:ascii="Arial" w:hAnsi="Arial" w:cs="Arial"/>
                <w:sz w:val="18"/>
                <w:szCs w:val="18"/>
              </w:rPr>
            </w:pPr>
          </w:p>
        </w:tc>
      </w:tr>
      <w:tr>
        <w:trPr/>
        <w:tc>
          <w:tcPr>
            <w:tcW w:type="dxa" w:w="705"/>
            <w:tcBorders/>
            <w:vAlign w:val="center"/>
          </w:tcPr>
          <w:p>
            <w:pPr>
              <w:spacing/>
              <w:jc w:val="center"/>
              <w:rPr>
                <w:rFonts w:ascii="Arial" w:hAnsi="Arial" w:cs="Arial"/>
                <w:sz w:val="18"/>
                <w:szCs w:val="18"/>
              </w:rPr>
            </w:pPr>
            <w:r>
              <w:rPr>
                <w:rFonts w:ascii="Arial" w:hAnsi="Arial" w:cs="Arial"/>
                <w:sz w:val="18"/>
                <w:szCs w:val="18"/>
              </w:rPr>
              <w:br w:type="page"/>
            </w:r>
            <w:r>
              <w:rPr>
                <w:rFonts w:ascii="Arial" w:hAnsi="Arial" w:cs="Arial"/>
                <w:sz w:val="18"/>
                <w:szCs w:val="18"/>
              </w:rPr>
              <w:br w:type="page"/>
            </w:r>
            <w:r>
              <w:rPr>
                <w:rFonts w:ascii="Arial" w:hAnsi="Arial" w:cs="Arial"/>
                <w:sz w:val="18"/>
                <w:szCs w:val="18"/>
              </w:rPr>
              <w:t xml:space="preserve">5.</w:t>
            </w:r>
          </w:p>
        </w:tc>
        <w:tc>
          <w:tcPr>
            <w:tcW w:type="dxa" w:w="11061"/>
            <w:gridSpan w:val="6"/>
            <w:tcBorders/>
          </w:tcPr>
          <w:p>
            <w:pPr>
              <w:spacing/>
              <w:jc w:val="center"/>
              <w:rPr>
                <w:rFonts w:ascii="Arial" w:hAnsi="Arial" w:cs="Arial"/>
                <w:b/>
                <w:bCs/>
                <w:sz w:val="18"/>
                <w:szCs w:val="18"/>
              </w:rPr>
            </w:pPr>
            <w:r>
              <w:rPr>
                <w:rFonts w:ascii="Arial" w:hAnsi="Arial" w:cs="Arial"/>
                <w:b/>
                <w:bCs/>
                <w:sz w:val="18"/>
                <w:szCs w:val="18"/>
              </w:rPr>
              <w:t xml:space="preserve">Įtampos transformatorių apvijų vardinės charakteristikos/</w:t>
            </w:r>
            <w:r>
              <w:rPr>
                <w:rFonts w:ascii="Arial" w:hAnsi="Arial" w:cs="Arial"/>
                <w:b/>
                <w:bCs/>
                <w:sz w:val="18"/>
                <w:szCs w:val="18"/>
              </w:rPr>
              <w:t xml:space="preserve"> </w:t>
            </w:r>
            <w:r>
              <w:rPr>
                <w:rFonts w:ascii="Arial" w:hAnsi="Arial" w:cs="Arial"/>
                <w:b/>
                <w:bCs/>
                <w:sz w:val="18"/>
                <w:szCs w:val="18"/>
                <w:lang w:val="en-US"/>
              </w:rPr>
              <w:t xml:space="preserve">Rated values of windings of voltage transformers </w:t>
            </w:r>
            <w:r>
              <w:rPr>
                <w:rFonts w:ascii="Arial" w:hAnsi="Arial" w:cs="Arial"/>
                <w:b/>
                <w:bCs/>
                <w:sz w:val="18"/>
                <w:szCs w:val="18"/>
                <w:vertAlign w:val="superscript"/>
                <w:lang w:val="en-US"/>
              </w:rPr>
              <w:t xml:space="preserve">c)</w:t>
            </w:r>
          </w:p>
        </w:tc>
        <w:tc>
          <w:tcPr>
            <w:tcW w:type="dxa" w:w="2406"/>
            <w:vMerge w:val="restart"/>
            <w:tcBorders/>
            <w:vAlign w:val="center"/>
          </w:tcPr>
          <w:p>
            <w:pPr>
              <w:spacing/>
              <w:jc w:val="center"/>
              <w:rPr>
                <w:rFonts w:ascii="Arial" w:hAnsi="Arial" w:cs="Arial"/>
                <w:sz w:val="18"/>
                <w:szCs w:val="18"/>
              </w:rPr>
            </w:pPr>
          </w:p>
        </w:tc>
        <w:tc>
          <w:tcPr>
            <w:tcW w:type="dxa" w:w="991"/>
            <w:vMerge w:val="restart"/>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8"/>
              </w:numPr>
              <w:spacing/>
              <w:rPr>
                <w:rFonts w:ascii="Arial" w:hAnsi="Arial" w:cs="Arial"/>
                <w:sz w:val="18"/>
                <w:szCs w:val="18"/>
              </w:rPr>
            </w:pPr>
          </w:p>
        </w:tc>
        <w:tc>
          <w:tcPr>
            <w:tcW w:type="dxa" w:w="11061"/>
            <w:gridSpan w:val="6"/>
            <w:tcBorders/>
          </w:tcPr>
          <w:p>
            <w:pPr>
              <w:spacing/>
              <w:jc w:val="center"/>
              <w:rPr>
                <w:rFonts w:ascii="Arial" w:hAnsi="Arial" w:cs="Arial"/>
                <w:sz w:val="18"/>
                <w:szCs w:val="18"/>
              </w:rPr>
            </w:pPr>
            <w:r>
              <w:rPr>
                <w:rFonts w:ascii="Arial" w:hAnsi="Arial" w:cs="Arial"/>
                <w:color w:val="A6A6A6"/>
                <w:sz w:val="18"/>
                <w:szCs w:val="18"/>
              </w:rPr>
              <w:t xml:space="preserve">33</w:t>
            </w:r>
            <w:r>
              <w:rPr>
                <w:rFonts w:ascii="Arial" w:hAnsi="Arial" w:cs="Arial"/>
                <w:color w:val="A6A6A6"/>
                <w:sz w:val="18"/>
                <w:szCs w:val="18"/>
              </w:rPr>
              <w:t xml:space="preserve">0 000/√3 V</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8"/>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1a – 1n</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2a – 2n</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da – dn</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8"/>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100/√3</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100/√3</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8"/>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0,2</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3P</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8"/>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25</w:t>
            </w:r>
            <w:r>
              <w:rPr>
                <w:rFonts w:ascii="Arial" w:hAnsi="Arial" w:cs="Arial"/>
                <w:color w:val="A6A6A6"/>
                <w:sz w:val="18"/>
                <w:szCs w:val="18"/>
              </w:rPr>
              <w:t xml:space="preserve"> </w:t>
            </w:r>
            <w:r>
              <w:rPr>
                <w:rFonts w:ascii="Arial" w:hAnsi="Arial" w:cs="Arial"/>
                <w:color w:val="A6A6A6"/>
                <w:sz w:val="18"/>
                <w:szCs w:val="18"/>
              </w:rPr>
              <w:t xml:space="preserve">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705"/>
            <w:tcBorders/>
            <w:vAlign w:val="center"/>
          </w:tcPr>
          <w:p>
            <w:pPr>
              <w:pStyle w:val="ListParagraph"/>
              <w:numPr>
                <w:ilvl w:val="0"/>
                <w:numId w:val="8"/>
              </w:numPr>
              <w:spacing/>
              <w:rPr>
                <w:rFonts w:ascii="Arial" w:hAnsi="Arial" w:cs="Arial"/>
                <w:sz w:val="18"/>
                <w:szCs w:val="18"/>
              </w:rPr>
            </w:pP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3"/>
            <w:tcBorders/>
          </w:tcPr>
          <w:p>
            <w:pPr>
              <w:spacing/>
              <w:jc w:val="center"/>
              <w:rPr>
                <w:rFonts w:ascii="Arial" w:hAnsi="Arial" w:cs="Arial"/>
                <w:color w:val="A6A6A6"/>
                <w:sz w:val="18"/>
                <w:szCs w:val="18"/>
              </w:rPr>
            </w:pPr>
            <w:r>
              <w:rPr>
                <w:rFonts w:ascii="Arial" w:hAnsi="Arial" w:cs="Arial"/>
                <w:color w:val="A6A6A6"/>
                <w:sz w:val="18"/>
                <w:szCs w:val="18"/>
              </w:rPr>
              <w:t xml:space="preserve">100 VA</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1843"/>
            <w:tcBorders/>
          </w:tcPr>
          <w:p>
            <w:pPr>
              <w:spacing/>
              <w:jc w:val="center"/>
              <w:rPr>
                <w:rFonts w:ascii="Arial" w:hAnsi="Arial" w:cs="Arial"/>
                <w:sz w:val="18"/>
                <w:szCs w:val="18"/>
              </w:rPr>
            </w:pPr>
            <w:r>
              <w:rPr>
                <w:rFonts w:ascii="Arial" w:hAnsi="Arial" w:cs="Arial"/>
                <w:sz w:val="18"/>
                <w:szCs w:val="18"/>
              </w:rPr>
              <w:t xml:space="preserve">---</w:t>
            </w:r>
          </w:p>
        </w:tc>
        <w:tc>
          <w:tcPr>
            <w:tcW w:type="dxa" w:w="1844"/>
            <w:tcBorders/>
          </w:tcPr>
          <w:p>
            <w:pPr>
              <w:spacing/>
              <w:jc w:val="center"/>
              <w:rPr>
                <w:rFonts w:ascii="Arial" w:hAnsi="Arial" w:cs="Arial"/>
                <w:sz w:val="18"/>
                <w:szCs w:val="18"/>
              </w:rPr>
            </w:pPr>
            <w:r>
              <w:rPr>
                <w:rFonts w:ascii="Arial" w:hAnsi="Arial" w:cs="Arial"/>
                <w:sz w:val="18"/>
                <w:szCs w:val="18"/>
              </w:rPr>
              <w:t xml:space="preserve">---</w:t>
            </w:r>
          </w:p>
        </w:tc>
        <w:tc>
          <w:tcPr>
            <w:tcW w:type="dxa" w:w="2406"/>
            <w:vMerge w:val="continue"/>
            <w:tcBorders/>
            <w:vAlign w:val="center"/>
          </w:tcPr>
          <w:p>
            <w:pPr>
              <w:spacing/>
              <w:jc w:val="center"/>
              <w:rPr>
                <w:rFonts w:ascii="Arial" w:hAnsi="Arial" w:cs="Arial"/>
                <w:sz w:val="18"/>
                <w:szCs w:val="18"/>
              </w:rPr>
            </w:pPr>
          </w:p>
        </w:tc>
        <w:tc>
          <w:tcPr>
            <w:tcW w:type="dxa" w:w="991"/>
            <w:vMerge w:val="continue"/>
            <w:tcBorders/>
            <w:vAlign w:val="center"/>
          </w:tcPr>
          <w:p>
            <w:pPr>
              <w:spacing/>
              <w:jc w:val="center"/>
              <w:rPr>
                <w:rFonts w:ascii="Arial" w:hAnsi="Arial" w:cs="Arial"/>
                <w:sz w:val="18"/>
                <w:szCs w:val="18"/>
              </w:rPr>
            </w:pPr>
          </w:p>
        </w:tc>
      </w:tr>
      <w:tr>
        <w:trPr/>
        <w:tc>
          <w:tcPr>
            <w:tcW w:type="dxa" w:w="15163"/>
            <w:gridSpan w:val="9"/>
            <w:tcBorders/>
            <w:vAlign w:val="center"/>
          </w:tcPr>
          <w:p>
            <w:pPr>
              <w:spacing/>
              <w:jc w:val="both"/>
              <w:rPr>
                <w:rFonts w:ascii="Arial" w:hAnsi="Arial" w:cs="Arial"/>
                <w:b/>
                <w:bCs/>
                <w:color w:val="000000"/>
                <w:sz w:val="18"/>
                <w:szCs w:val="18"/>
                <w:lang w:val="en-GB"/>
              </w:rPr>
            </w:pPr>
            <w:r>
              <w:rPr>
                <w:rFonts w:ascii="Arial" w:hAnsi="Arial" w:cs="Arial"/>
                <w:b/>
                <w:bCs/>
                <w:color w:val="000000"/>
                <w:sz w:val="18"/>
                <w:szCs w:val="18"/>
              </w:rPr>
              <w:t xml:space="preserve">Paaiškinimai:/ </w:t>
            </w:r>
            <w:r>
              <w:rPr>
                <w:rFonts w:ascii="Arial" w:hAnsi="Arial" w:cs="Arial"/>
                <w:b/>
                <w:bCs/>
                <w:color w:val="000000"/>
                <w:sz w:val="18"/>
                <w:szCs w:val="18"/>
                <w:lang w:val="en-GB"/>
              </w:rPr>
              <w:t xml:space="preserve">Explanations:</w:t>
            </w:r>
          </w:p>
          <w:p>
            <w:pPr>
              <w:spacing/>
              <w:jc w:val="both"/>
              <w:rPr>
                <w:rFonts w:ascii="Arial" w:hAnsi="Arial" w:cs="Arial"/>
                <w:color w:val="000000"/>
                <w:sz w:val="18"/>
                <w:szCs w:val="18"/>
                <w:lang w:val="en-US"/>
              </w:rPr>
            </w:pPr>
            <w:r>
              <w:rPr>
                <w:rFonts w:ascii="Arial" w:hAnsi="Arial" w:cs="Arial"/>
                <w:color w:val="000000"/>
                <w:sz w:val="18"/>
                <w:szCs w:val="18"/>
              </w:rPr>
              <w:t xml:space="preserve">4.1 – Išvadų žymėjimas/ </w:t>
            </w:r>
            <w:r>
              <w:rPr>
                <w:rFonts w:ascii="Arial" w:hAnsi="Arial" w:cs="Arial"/>
                <w:color w:val="000000"/>
                <w:sz w:val="18"/>
                <w:szCs w:val="18"/>
                <w:lang w:val="en-US"/>
              </w:rPr>
              <w:t xml:space="preserve">Marking of terminals;</w:t>
            </w:r>
          </w:p>
          <w:p>
            <w:pPr>
              <w:spacing/>
              <w:jc w:val="both"/>
              <w:rPr>
                <w:rFonts w:ascii="Arial" w:hAnsi="Arial" w:cs="Arial"/>
                <w:color w:val="000000"/>
                <w:sz w:val="18"/>
                <w:szCs w:val="18"/>
              </w:rPr>
            </w:pPr>
            <w:r>
              <w:rPr>
                <w:rFonts w:ascii="Arial" w:hAnsi="Arial" w:cs="Arial"/>
                <w:color w:val="000000"/>
                <w:sz w:val="18"/>
                <w:szCs w:val="18"/>
              </w:rPr>
              <w:t xml:space="preserve">4.2 – Transformacijos koeficientas. </w:t>
            </w:r>
            <w:r>
              <w:rPr>
                <w:rFonts w:ascii="Arial" w:hAnsi="Arial" w:cs="Arial"/>
                <w:sz w:val="18"/>
                <w:szCs w:val="18"/>
              </w:rPr>
              <w:t xml:space="preserve">Vardinė pirminė srovė (I</w:t>
            </w:r>
            <w:r>
              <w:rPr>
                <w:rFonts w:ascii="Arial" w:hAnsi="Arial" w:cs="Arial"/>
                <w:sz w:val="18"/>
                <w:szCs w:val="18"/>
                <w:vertAlign w:val="subscript"/>
              </w:rPr>
              <w:t xml:space="preserve">pr</w:t>
            </w:r>
            <w:r>
              <w:rPr>
                <w:rFonts w:ascii="Arial" w:hAnsi="Arial" w:cs="Arial"/>
                <w:sz w:val="18"/>
                <w:szCs w:val="18"/>
              </w:rPr>
              <w:t xml:space="preserve">)turi būti parenkama iš standartinių verčių arba jų dešimtainių daugiklių pagal IEC 61869-2 punktą 5.201: 10-12,5-15-20-25-30-40-50-60-75 A. Vardinė antrinė srovė (I</w:t>
            </w:r>
            <w:r>
              <w:rPr>
                <w:rFonts w:ascii="Arial" w:hAnsi="Arial" w:cs="Arial"/>
                <w:sz w:val="18"/>
                <w:szCs w:val="18"/>
                <w:vertAlign w:val="subscript"/>
              </w:rPr>
              <w:t xml:space="preserve">sr</w:t>
            </w:r>
            <w:r>
              <w:rPr>
                <w:rFonts w:ascii="Arial" w:hAnsi="Arial" w:cs="Arial"/>
                <w:sz w:val="18"/>
                <w:szCs w:val="18"/>
              </w:rPr>
              <w:t xml:space="preserve">) parenkama 1A. </w:t>
            </w:r>
            <w:r>
              <w:rPr>
                <w:rFonts w:ascii="Arial" w:hAnsi="Arial" w:cs="Arial"/>
                <w:color w:val="000000"/>
                <w:sz w:val="18"/>
                <w:szCs w:val="18"/>
              </w:rPr>
              <w:t xml:space="preserve">Atskirais atvejais, suderinus su Užsakovu Projektuotojas gali parinkti 5A vardinę antrinę srovę/ </w:t>
            </w:r>
            <w:r>
              <w:rPr>
                <w:rFonts w:ascii="Arial" w:hAnsi="Arial" w:cs="Arial"/>
                <w:color w:val="000000"/>
                <w:sz w:val="18"/>
                <w:szCs w:val="18"/>
                <w:lang w:val="en-US"/>
              </w:rPr>
              <w:t xml:space="preserve">Ratio. </w:t>
            </w:r>
            <w:r>
              <w:rPr>
                <w:rFonts w:ascii="Arial" w:hAnsi="Arial" w:cs="Arial"/>
                <w:sz w:val="18"/>
                <w:szCs w:val="18"/>
                <w:lang w:val="en-US"/>
              </w:rPr>
              <w:t xml:space="preserve">Rated primary current shall be chosen of standard values and their decimal multiplies according to IEC 61869-2 clause 5.201: 10-12,5-15-20-25-30-40-50-60-75 A. Rated secondary current (I</w:t>
            </w:r>
            <w:r>
              <w:rPr>
                <w:rFonts w:ascii="Arial" w:hAnsi="Arial" w:cs="Arial"/>
                <w:sz w:val="18"/>
                <w:szCs w:val="18"/>
                <w:vertAlign w:val="subscript"/>
                <w:lang w:val="en-US"/>
              </w:rPr>
              <w:t xml:space="preserve">sr</w:t>
            </w:r>
            <w:r>
              <w:rPr>
                <w:rFonts w:ascii="Arial" w:hAnsi="Arial" w:cs="Arial"/>
                <w:sz w:val="18"/>
                <w:szCs w:val="18"/>
                <w:lang w:val="en-US"/>
              </w:rPr>
              <w:t xml:space="preserve">) shall be chosen 1A. </w:t>
            </w:r>
            <w:r>
              <w:rPr>
                <w:rFonts w:ascii="Arial" w:hAnsi="Arial" w:cs="Arial"/>
                <w:color w:val="000000"/>
                <w:sz w:val="18"/>
                <w:szCs w:val="18"/>
                <w:lang w:val="en-US"/>
              </w:rPr>
              <w:t xml:space="preserve">In exceptional cases, in agreement with Customer author of project can choose value of rated secondary current </w:t>
            </w:r>
            <w:r>
              <w:rPr>
                <w:rFonts w:ascii="Arial" w:hAnsi="Arial" w:cs="Arial"/>
                <w:color w:val="000000"/>
                <w:sz w:val="18"/>
                <w:szCs w:val="18"/>
                <w:lang w:val="en-US"/>
              </w:rPr>
              <w:t xml:space="preserve">5A;</w:t>
            </w:r>
          </w:p>
          <w:p>
            <w:pPr>
              <w:spacing/>
              <w:jc w:val="both"/>
              <w:rPr>
                <w:rFonts w:ascii="Arial" w:hAnsi="Arial" w:cs="Arial"/>
                <w:color w:val="000000"/>
                <w:sz w:val="18"/>
                <w:szCs w:val="18"/>
                <w:lang w:val="en-US"/>
              </w:rPr>
            </w:pPr>
            <w:r>
              <w:rPr>
                <w:rFonts w:ascii="Arial" w:hAnsi="Arial" w:cs="Arial"/>
                <w:color w:val="000000"/>
                <w:sz w:val="18"/>
                <w:szCs w:val="18"/>
              </w:rPr>
              <w:t xml:space="preserve">4.3 – </w:t>
            </w:r>
            <w:r>
              <w:rPr>
                <w:rFonts w:ascii="Arial" w:hAnsi="Arial" w:cs="Arial"/>
                <w:color w:val="000000"/>
                <w:sz w:val="18"/>
                <w:szCs w:val="18"/>
              </w:rPr>
              <w:t xml:space="preserve">Antrinių apvijų vardinė išėjimo galia</w:t>
            </w:r>
            <w:r>
              <w:rPr>
                <w:rFonts w:ascii="Arial" w:hAnsi="Arial" w:cs="Arial"/>
                <w:color w:val="000000"/>
                <w:sz w:val="18"/>
                <w:szCs w:val="18"/>
              </w:rPr>
              <w:t xml:space="preserve"> (S), VA</w:t>
            </w:r>
            <w:r>
              <w:rPr>
                <w:rFonts w:ascii="Arial" w:hAnsi="Arial" w:cs="Arial"/>
                <w:color w:val="000000"/>
                <w:sz w:val="18"/>
                <w:szCs w:val="18"/>
              </w:rPr>
              <w:t xml:space="preserve">. Elektros apskaitos ir matavimo antrinių apvijų vardinė išėjimo galia turi būti 2,5 VA. </w:t>
            </w:r>
            <w:r>
              <w:rPr>
                <w:rFonts w:ascii="Arial" w:hAnsi="Arial" w:cs="Arial"/>
                <w:sz w:val="18"/>
                <w:szCs w:val="18"/>
              </w:rPr>
              <w:t xml:space="preserve">Parenkant daugiasąntykinių transformatorių antrines apvijas su atšakomis (skirtingais transformacijos koeficientais), reikalavimas taikomas visoms atšakoms.</w:t>
            </w:r>
            <w:r>
              <w:rPr>
                <w:rFonts w:ascii="Arial" w:hAnsi="Arial" w:cs="Arial"/>
                <w:sz w:val="18"/>
                <w:szCs w:val="18"/>
              </w:rPr>
              <w:t xml:space="preserve"> </w:t>
            </w:r>
            <w:r>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Pr>
                <w:rFonts w:ascii="Arial" w:hAnsi="Arial" w:cs="Arial"/>
                <w:sz w:val="18"/>
                <w:szCs w:val="18"/>
              </w:rPr>
              <w:t xml:space="preserve">IEC 61869-2 </w:t>
            </w:r>
            <w:r>
              <w:rPr>
                <w:rFonts w:ascii="Arial" w:hAnsi="Arial" w:cs="Arial"/>
                <w:color w:val="000000"/>
                <w:sz w:val="18"/>
                <w:szCs w:val="18"/>
              </w:rPr>
              <w:t xml:space="preserve">standartinių verčių (5-10-15-30 VA arba skaičiavimais pagrįstų didesnių verčių). Techninio (techninio darbo) projekto rengimo metu Projektuotojas visais atvejais privalo atlikti ir pateikti skaičiavimus/ </w:t>
            </w:r>
            <w:r>
              <w:rPr>
                <w:rFonts w:ascii="Arial" w:hAnsi="Arial" w:cs="Arial"/>
                <w:sz w:val="18"/>
                <w:szCs w:val="18"/>
                <w:lang w:val="en-US"/>
              </w:rPr>
              <w:t xml:space="preserve">Rated output of secondary windings</w:t>
            </w:r>
            <w:r>
              <w:rPr>
                <w:rFonts w:ascii="Arial" w:hAnsi="Arial" w:cs="Arial"/>
                <w:sz w:val="18"/>
                <w:szCs w:val="18"/>
                <w:lang w:val="en-US"/>
              </w:rPr>
              <w:t xml:space="preserve"> (S), VA</w:t>
            </w:r>
            <w:r>
              <w:rPr>
                <w:rFonts w:ascii="Arial" w:hAnsi="Arial" w:cs="Arial"/>
                <w:sz w:val="18"/>
                <w:szCs w:val="18"/>
                <w:lang w:val="en-US"/>
              </w:rPr>
              <w:t xml:space="preserve">. For metering windings shall be selected 2,5 VA. </w:t>
            </w:r>
            <w:r>
              <w:rPr>
                <w:rFonts w:ascii="Arial" w:hAnsi="Arial" w:cs="Arial"/>
                <w:sz w:val="18"/>
                <w:szCs w:val="18"/>
                <w:lang w:val="en-US"/>
              </w:rPr>
              <w:t xml:space="preserve">When selecting transformers with tapped secondary windings, the requirement applies to all taps.</w:t>
            </w:r>
            <w:r>
              <w:rPr>
                <w:rFonts w:ascii="Arial" w:hAnsi="Arial" w:cs="Arial"/>
                <w:sz w:val="18"/>
                <w:szCs w:val="18"/>
                <w:lang w:val="en-US"/>
              </w:rPr>
              <w:t xml:space="preserve"> </w:t>
            </w:r>
            <w:r>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r>
              <w:rPr>
                <w:rFonts w:ascii="Arial" w:hAnsi="Arial" w:cs="Arial"/>
                <w:sz w:val="18"/>
                <w:szCs w:val="18"/>
                <w:lang w:val="en-US"/>
              </w:rPr>
              <w:t xml:space="preserve">project</w:t>
            </w:r>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rPr>
              <w:t xml:space="preserve">4.4 – Tikslumo klasė. Matavimo apvijoms parenkama 0,2S</w:t>
            </w:r>
            <w:r>
              <w:rPr>
                <w:rFonts w:ascii="Arial" w:hAnsi="Arial" w:cs="Arial"/>
                <w:color w:val="000000"/>
                <w:sz w:val="18"/>
                <w:szCs w:val="18"/>
              </w:rPr>
              <w:t xml:space="preserve"> (taikoma visiems (skirtingiems) transformacijos koeficientams)</w:t>
            </w:r>
            <w:r>
              <w:rPr>
                <w:rFonts w:ascii="Arial" w:hAnsi="Arial" w:cs="Arial"/>
                <w:color w:val="000000"/>
                <w:sz w:val="18"/>
                <w:szCs w:val="18"/>
              </w:rPr>
              <w:t xml:space="preserve">, apsaugų apvijoms parenkama 5P/ </w:t>
            </w:r>
            <w:r>
              <w:rPr>
                <w:rFonts w:ascii="Arial" w:hAnsi="Arial" w:cs="Arial"/>
                <w:color w:val="000000"/>
                <w:sz w:val="18"/>
                <w:szCs w:val="18"/>
                <w:lang w:val="en-US"/>
              </w:rPr>
              <w:t xml:space="preserve">Accuracy class. To be selected 0.2S for metering windings</w:t>
            </w:r>
            <w:r>
              <w:rPr>
                <w:rFonts w:ascii="Arial" w:hAnsi="Arial" w:cs="Arial"/>
                <w:color w:val="000000"/>
                <w:sz w:val="18"/>
                <w:szCs w:val="18"/>
                <w:lang w:val="en-US"/>
              </w:rPr>
              <w:t xml:space="preserve"> (applicable for all (different) ratios)</w:t>
            </w:r>
            <w:r>
              <w:rPr>
                <w:rFonts w:ascii="Arial" w:hAnsi="Arial" w:cs="Arial"/>
                <w:color w:val="000000"/>
                <w:sz w:val="18"/>
                <w:szCs w:val="18"/>
                <w:lang w:val="en-US"/>
              </w:rPr>
              <w:t xml:space="preserve">, 5P for protection </w:t>
            </w:r>
            <w:r>
              <w:rPr>
                <w:rFonts w:ascii="Arial" w:hAnsi="Arial" w:cs="Arial"/>
                <w:color w:val="000000"/>
                <w:sz w:val="18"/>
                <w:szCs w:val="18"/>
                <w:lang w:val="en-US"/>
              </w:rPr>
              <w:t xml:space="preserve">windings;</w:t>
            </w:r>
          </w:p>
          <w:p>
            <w:pPr>
              <w:spacing/>
              <w:jc w:val="both"/>
              <w:rPr>
                <w:rFonts w:ascii="Arial" w:hAnsi="Arial" w:cs="Arial"/>
                <w:color w:val="000000"/>
                <w:sz w:val="18"/>
                <w:szCs w:val="18"/>
                <w:lang w:val="en-US"/>
              </w:rPr>
            </w:pPr>
            <w:r>
              <w:rPr>
                <w:rFonts w:ascii="Arial" w:hAnsi="Arial" w:cs="Arial"/>
                <w:color w:val="000000"/>
                <w:sz w:val="18"/>
                <w:szCs w:val="18"/>
              </w:rPr>
              <w:t xml:space="preserve">4.5 – </w:t>
            </w:r>
            <w:r>
              <w:rPr>
                <w:rFonts w:ascii="Arial" w:hAnsi="Arial" w:cs="Arial"/>
                <w:color w:val="000000"/>
                <w:sz w:val="18"/>
                <w:szCs w:val="18"/>
              </w:rPr>
              <w:t xml:space="preserve">Antrinių apvijų saugumo faktorius (FS) ir</w:t>
            </w:r>
            <w:r>
              <w:rPr>
                <w:rFonts w:ascii="Arial" w:hAnsi="Arial" w:cs="Arial"/>
                <w:color w:val="000000"/>
                <w:sz w:val="18"/>
                <w:szCs w:val="18"/>
              </w:rPr>
              <w:t xml:space="preserve"> tikslumo ribos faktorius (ALF)</w:t>
            </w:r>
            <w:r>
              <w:rPr>
                <w:rFonts w:ascii="Arial" w:hAnsi="Arial" w:cs="Arial"/>
                <w:color w:val="000000"/>
                <w:sz w:val="18"/>
                <w:szCs w:val="18"/>
              </w:rPr>
              <w:t xml:space="preserve">. Elektros apskaitos ir matavimo</w:t>
            </w:r>
            <w:r>
              <w:rPr>
                <w:rFonts w:ascii="Arial" w:hAnsi="Arial" w:cs="Arial"/>
                <w:color w:val="000000"/>
                <w:sz w:val="18"/>
                <w:szCs w:val="18"/>
              </w:rPr>
              <w:t xml:space="preserve"> apvijų </w:t>
            </w:r>
            <w:r>
              <w:rPr>
                <w:rFonts w:ascii="Arial" w:hAnsi="Arial" w:cs="Arial"/>
                <w:color w:val="000000"/>
                <w:sz w:val="18"/>
                <w:szCs w:val="18"/>
              </w:rPr>
              <w:t xml:space="preserve">visais atvejais </w:t>
            </w:r>
            <w:r>
              <w:rPr>
                <w:rFonts w:ascii="Arial" w:hAnsi="Arial" w:cs="Arial"/>
                <w:color w:val="000000"/>
                <w:sz w:val="18"/>
                <w:szCs w:val="18"/>
              </w:rPr>
              <w:t xml:space="preserve">parenkamas FS5</w:t>
            </w:r>
            <w:r>
              <w:rPr>
                <w:rFonts w:ascii="Arial" w:hAnsi="Arial" w:cs="Arial"/>
                <w:color w:val="000000"/>
                <w:sz w:val="18"/>
                <w:szCs w:val="18"/>
              </w:rPr>
              <w:t xml:space="preserve">.</w:t>
            </w:r>
            <w:r>
              <w:rPr>
                <w:rFonts w:ascii="Arial" w:hAnsi="Arial" w:cs="Arial"/>
                <w:color w:val="000000"/>
                <w:sz w:val="18"/>
                <w:szCs w:val="18"/>
              </w:rPr>
              <w:t xml:space="preserve"> </w:t>
            </w:r>
            <w:r>
              <w:rPr>
                <w:rFonts w:ascii="Arial" w:hAnsi="Arial" w:cs="Arial"/>
                <w:color w:val="000000"/>
                <w:sz w:val="18"/>
                <w:szCs w:val="18"/>
              </w:rPr>
              <w:t xml:space="preserve">Relinės </w:t>
            </w:r>
            <w:r>
              <w:rPr>
                <w:rFonts w:ascii="Arial" w:hAnsi="Arial" w:cs="Arial"/>
                <w:color w:val="000000"/>
                <w:sz w:val="18"/>
                <w:szCs w:val="18"/>
              </w:rPr>
              <w:t xml:space="preserve">apsaug</w:t>
            </w:r>
            <w:r>
              <w:rPr>
                <w:rFonts w:ascii="Arial" w:hAnsi="Arial" w:cs="Arial"/>
                <w:color w:val="000000"/>
                <w:sz w:val="18"/>
                <w:szCs w:val="18"/>
              </w:rPr>
              <w:t xml:space="preserve">os</w:t>
            </w:r>
            <w:r>
              <w:rPr>
                <w:rFonts w:ascii="Arial" w:hAnsi="Arial" w:cs="Arial"/>
                <w:color w:val="000000"/>
                <w:sz w:val="18"/>
                <w:szCs w:val="18"/>
              </w:rPr>
              <w:t xml:space="preserve"> apvijų ALF parenkamas iš standartinių </w:t>
            </w:r>
            <w:r>
              <w:rPr>
                <w:rFonts w:ascii="Arial" w:hAnsi="Arial" w:cs="Arial"/>
                <w:sz w:val="18"/>
                <w:szCs w:val="18"/>
              </w:rPr>
              <w:t xml:space="preserve">IEC 61869-</w:t>
            </w:r>
            <w:r>
              <w:rPr>
                <w:rFonts w:ascii="Arial" w:hAnsi="Arial" w:cs="Arial"/>
                <w:sz w:val="18"/>
                <w:szCs w:val="18"/>
              </w:rPr>
              <w:t xml:space="preserve">2</w:t>
            </w:r>
            <w:r>
              <w:rPr>
                <w:rFonts w:ascii="Arial" w:hAnsi="Arial" w:cs="Arial"/>
                <w:sz w:val="18"/>
                <w:szCs w:val="18"/>
              </w:rPr>
              <w:t xml:space="preserve"> </w:t>
            </w:r>
            <w:r>
              <w:rPr>
                <w:rFonts w:ascii="Arial" w:hAnsi="Arial" w:cs="Arial"/>
                <w:color w:val="000000"/>
                <w:sz w:val="18"/>
                <w:szCs w:val="18"/>
              </w:rPr>
              <w:t xml:space="preserve">verčių</w:t>
            </w:r>
            <w:r>
              <w:rPr>
                <w:rFonts w:ascii="Arial" w:hAnsi="Arial" w:cs="Arial"/>
                <w:color w:val="000000"/>
                <w:sz w:val="18"/>
                <w:szCs w:val="18"/>
              </w:rPr>
              <w:t xml:space="preserve">, bet</w:t>
            </w:r>
            <w:r>
              <w:rPr>
                <w:rFonts w:ascii="Arial" w:hAnsi="Arial" w:cs="Arial"/>
                <w:color w:val="000000"/>
                <w:sz w:val="18"/>
                <w:szCs w:val="18"/>
              </w:rPr>
              <w:t xml:space="preserve"> </w:t>
            </w:r>
            <w:r>
              <w:rPr>
                <w:rFonts w:ascii="Arial" w:hAnsi="Arial" w:cs="Arial"/>
                <w:color w:val="000000"/>
                <w:sz w:val="18"/>
                <w:szCs w:val="18"/>
              </w:rPr>
              <w:t xml:space="preserve">ne mažesnis nei</w:t>
            </w:r>
            <w:r>
              <w:rPr>
                <w:rFonts w:ascii="Arial" w:hAnsi="Arial" w:cs="Arial"/>
                <w:color w:val="000000"/>
                <w:sz w:val="18"/>
                <w:szCs w:val="18"/>
              </w:rPr>
              <w:t xml:space="preserve"> 20</w:t>
            </w:r>
            <w:r>
              <w:rPr>
                <w:rFonts w:ascii="Arial" w:hAnsi="Arial" w:cs="Arial"/>
                <w:color w:val="000000"/>
                <w:sz w:val="18"/>
                <w:szCs w:val="18"/>
              </w:rPr>
              <w:t xml:space="preserve">. Techninio (techninio darbo) projekto rengimo metu Projektuotojas visais atvejais privalo atlikti ir pateikti </w:t>
            </w:r>
            <w:r>
              <w:rPr>
                <w:rFonts w:ascii="Arial" w:hAnsi="Arial" w:cs="Arial"/>
                <w:color w:val="000000"/>
                <w:sz w:val="18"/>
                <w:szCs w:val="18"/>
              </w:rPr>
              <w:t xml:space="preserve">-</w:t>
            </w:r>
            <w:r>
              <w:rPr>
                <w:rFonts w:ascii="Arial" w:hAnsi="Arial" w:cs="Arial"/>
                <w:color w:val="000000"/>
                <w:sz w:val="18"/>
                <w:szCs w:val="18"/>
              </w:rPr>
              <w:t xml:space="preserve">skaičiavimus, nustatant</w:t>
            </w:r>
            <w:r>
              <w:rPr>
                <w:rFonts w:ascii="Arial" w:hAnsi="Arial" w:cs="Arial"/>
                <w:color w:val="000000"/>
                <w:sz w:val="18"/>
                <w:szCs w:val="18"/>
              </w:rPr>
              <w:t xml:space="preserve"> maksimalų </w:t>
            </w:r>
            <w:r>
              <w:rPr>
                <w:rFonts w:ascii="Arial" w:hAnsi="Arial" w:cs="Arial"/>
                <w:color w:val="000000"/>
                <w:sz w:val="18"/>
                <w:szCs w:val="18"/>
              </w:rPr>
              <w:t xml:space="preserve">apsaugų apvijų tikslumo ribos faktori</w:t>
            </w:r>
            <w:r>
              <w:rPr>
                <w:rFonts w:ascii="Arial" w:hAnsi="Arial" w:cs="Arial"/>
                <w:color w:val="000000"/>
                <w:sz w:val="18"/>
                <w:szCs w:val="18"/>
              </w:rPr>
              <w:t xml:space="preserve">ų</w:t>
            </w:r>
            <w:r>
              <w:rPr>
                <w:rFonts w:ascii="Arial" w:hAnsi="Arial" w:cs="Arial"/>
                <w:color w:val="000000"/>
                <w:sz w:val="18"/>
                <w:szCs w:val="18"/>
              </w:rPr>
              <w:t xml:space="preserve"> </w:t>
            </w:r>
            <w:r>
              <w:rPr>
                <w:rFonts w:ascii="Arial" w:hAnsi="Arial" w:cs="Arial"/>
                <w:color w:val="000000"/>
                <w:sz w:val="18"/>
                <w:szCs w:val="18"/>
              </w:rPr>
              <w:t xml:space="preserve">vienfazių su žeme ir trifazių </w:t>
            </w:r>
            <w:r>
              <w:rPr>
                <w:rFonts w:ascii="Arial" w:hAnsi="Arial" w:cs="Arial"/>
                <w:color w:val="000000"/>
                <w:sz w:val="18"/>
                <w:szCs w:val="18"/>
              </w:rPr>
              <w:t xml:space="preserve">trump</w:t>
            </w:r>
            <w:r>
              <w:rPr>
                <w:rFonts w:ascii="Arial" w:hAnsi="Arial" w:cs="Arial"/>
                <w:color w:val="000000"/>
                <w:sz w:val="18"/>
                <w:szCs w:val="18"/>
              </w:rPr>
              <w:t xml:space="preserve">ų</w:t>
            </w:r>
            <w:r>
              <w:rPr>
                <w:rFonts w:ascii="Arial" w:hAnsi="Arial" w:cs="Arial"/>
                <w:color w:val="000000"/>
                <w:sz w:val="18"/>
                <w:szCs w:val="18"/>
              </w:rPr>
              <w:t xml:space="preserve">j</w:t>
            </w:r>
            <w:r>
              <w:rPr>
                <w:rFonts w:ascii="Arial" w:hAnsi="Arial" w:cs="Arial"/>
                <w:color w:val="000000"/>
                <w:sz w:val="18"/>
                <w:szCs w:val="18"/>
              </w:rPr>
              <w:t xml:space="preserve">ų</w:t>
            </w:r>
            <w:r>
              <w:rPr>
                <w:rFonts w:ascii="Arial" w:hAnsi="Arial" w:cs="Arial"/>
                <w:color w:val="000000"/>
                <w:sz w:val="18"/>
                <w:szCs w:val="18"/>
              </w:rPr>
              <w:t xml:space="preserve"> jungim</w:t>
            </w:r>
            <w:r>
              <w:rPr>
                <w:rFonts w:ascii="Arial" w:hAnsi="Arial" w:cs="Arial"/>
                <w:color w:val="000000"/>
                <w:sz w:val="18"/>
                <w:szCs w:val="18"/>
              </w:rPr>
              <w:t xml:space="preserve">ų</w:t>
            </w:r>
            <w:r>
              <w:rPr>
                <w:rFonts w:ascii="Arial" w:hAnsi="Arial" w:cs="Arial"/>
                <w:color w:val="000000"/>
                <w:sz w:val="18"/>
                <w:szCs w:val="18"/>
              </w:rPr>
              <w:t xml:space="preserve"> </w:t>
            </w:r>
            <w:r>
              <w:rPr>
                <w:rFonts w:ascii="Arial" w:hAnsi="Arial" w:cs="Arial"/>
                <w:color w:val="000000"/>
                <w:sz w:val="18"/>
                <w:szCs w:val="18"/>
              </w:rPr>
              <w:t xml:space="preserve">metu</w:t>
            </w:r>
            <w:r>
              <w:rPr>
                <w:rFonts w:ascii="Arial" w:hAnsi="Arial" w:cs="Arial"/>
                <w:color w:val="000000"/>
                <w:sz w:val="18"/>
                <w:szCs w:val="18"/>
                <w:lang w:val="en-US"/>
              </w:rPr>
              <w:t xml:space="preserve">/ Instrument security factor (FS) and accuracy limit factor (ALF). </w:t>
            </w:r>
            <w:r>
              <w:rPr>
                <w:rFonts w:ascii="Arial" w:hAnsi="Arial" w:cs="Arial"/>
                <w:color w:val="000000"/>
                <w:sz w:val="18"/>
                <w:szCs w:val="18"/>
                <w:lang w:val="en-US"/>
              </w:rPr>
              <w:t xml:space="preserve">Instrument security factor of metering windings in all cases shall be selected FS5. Accuracy limit factor of protection windings shall be selected from standard IEC 61869-2 values but not less than 20. In all cases in</w:t>
            </w:r>
            <w:r>
              <w:rPr>
                <w:rFonts w:ascii="Arial" w:hAnsi="Arial" w:cs="Arial"/>
                <w:color w:val="000000"/>
                <w:sz w:val="18"/>
                <w:szCs w:val="18"/>
                <w:lang w:val="en-US"/>
              </w:rPr>
              <w:t xml:space="preserve"> technical (technical </w:t>
            </w:r>
            <w:r>
              <w:rPr>
                <w:rFonts w:ascii="Arial" w:hAnsi="Arial" w:cs="Arial"/>
                <w:color w:val="000000"/>
                <w:sz w:val="18"/>
                <w:szCs w:val="18"/>
                <w:lang w:val="en-US"/>
              </w:rPr>
              <w:t xml:space="preserve">detailed</w:t>
            </w:r>
            <w:r>
              <w:rPr>
                <w:rFonts w:ascii="Arial" w:hAnsi="Arial" w:cs="Arial"/>
                <w:color w:val="000000"/>
                <w:sz w:val="18"/>
                <w:szCs w:val="18"/>
                <w:lang w:val="en-US"/>
              </w:rPr>
              <w:t xml:space="preserve">) project</w:t>
            </w:r>
            <w:r>
              <w:rPr>
                <w:rFonts w:ascii="Arial" w:hAnsi="Arial" w:cs="Arial"/>
                <w:color w:val="000000"/>
                <w:sz w:val="18"/>
                <w:szCs w:val="18"/>
                <w:lang w:val="en-US"/>
              </w:rPr>
              <w:t xml:space="preserve"> shall be provided </w:t>
            </w:r>
            <w:r>
              <w:rPr>
                <w:rFonts w:ascii="Arial" w:hAnsi="Arial" w:cs="Arial"/>
                <w:color w:val="000000"/>
                <w:sz w:val="18"/>
                <w:szCs w:val="18"/>
                <w:lang w:val="en-US"/>
              </w:rPr>
              <w:t xml:space="preserve">calculations and determin</w:t>
            </w:r>
            <w:r>
              <w:rPr>
                <w:rFonts w:ascii="Arial" w:hAnsi="Arial" w:cs="Arial"/>
                <w:color w:val="000000"/>
                <w:sz w:val="18"/>
                <w:szCs w:val="18"/>
                <w:lang w:val="en-US"/>
              </w:rPr>
              <w:t xml:space="preserve">ation</w:t>
            </w:r>
            <w:r>
              <w:rPr>
                <w:rFonts w:ascii="Arial" w:hAnsi="Arial" w:cs="Arial"/>
                <w:color w:val="000000"/>
                <w:sz w:val="18"/>
                <w:szCs w:val="18"/>
                <w:lang w:val="en-US"/>
              </w:rPr>
              <w:t xml:space="preserve"> </w:t>
            </w:r>
            <w:r>
              <w:rPr>
                <w:rFonts w:ascii="Arial" w:hAnsi="Arial" w:cs="Arial"/>
                <w:color w:val="000000"/>
                <w:sz w:val="18"/>
                <w:szCs w:val="18"/>
                <w:lang w:val="en-US"/>
              </w:rPr>
              <w:t xml:space="preserve">of </w:t>
            </w:r>
            <w:r>
              <w:rPr>
                <w:rFonts w:ascii="Arial" w:hAnsi="Arial" w:cs="Arial"/>
                <w:color w:val="000000"/>
                <w:sz w:val="18"/>
                <w:szCs w:val="18"/>
                <w:lang w:val="en-US"/>
              </w:rPr>
              <w:t xml:space="preserve">maximum accuracy limit factor of protective windings during single-phase to ground and three-phase short </w:t>
            </w:r>
            <w:r>
              <w:rPr>
                <w:rFonts w:ascii="Arial" w:hAnsi="Arial" w:cs="Arial"/>
                <w:color w:val="000000"/>
                <w:sz w:val="18"/>
                <w:szCs w:val="18"/>
                <w:lang w:val="en-US"/>
              </w:rPr>
              <w:t xml:space="preserve">circuits</w:t>
            </w:r>
            <w:r>
              <w:rPr>
                <w:rFonts w:ascii="Arial" w:hAnsi="Arial" w:cs="Arial"/>
                <w:color w:val="000000"/>
                <w:sz w:val="18"/>
                <w:szCs w:val="18"/>
                <w:lang w:val="en-US"/>
              </w:rPr>
              <w:t xml:space="preserve">;</w:t>
            </w:r>
          </w:p>
          <w:p>
            <w:pPr>
              <w:spacing/>
              <w:jc w:val="both"/>
              <w:rPr>
                <w:rFonts w:ascii="Arial" w:hAnsi="Arial" w:cs="Arial"/>
                <w:color w:val="000000"/>
                <w:sz w:val="18"/>
                <w:szCs w:val="18"/>
                <w:lang w:val="en-US"/>
              </w:rPr>
            </w:pPr>
            <w:r>
              <w:rPr>
                <w:rFonts w:ascii="Arial" w:hAnsi="Arial" w:cs="Arial"/>
                <w:color w:val="000000"/>
                <w:sz w:val="18"/>
                <w:szCs w:val="18"/>
                <w:lang w:val="en-US"/>
              </w:rPr>
              <w:t xml:space="preserve">4.6 - </w:t>
            </w:r>
            <w:r>
              <w:rPr>
                <w:rFonts w:ascii="Arial" w:hAnsi="Arial" w:cs="Arial"/>
                <w:color w:val="000000"/>
                <w:sz w:val="18"/>
                <w:szCs w:val="18"/>
              </w:rPr>
              <w:t xml:space="preserve">Antrinės apvijos varža, (R</w:t>
            </w:r>
            <w:r>
              <w:rPr>
                <w:rFonts w:ascii="Arial" w:hAnsi="Arial" w:cs="Arial"/>
                <w:color w:val="000000"/>
                <w:sz w:val="18"/>
                <w:szCs w:val="18"/>
                <w:vertAlign w:val="subscript"/>
              </w:rPr>
              <w:t xml:space="preserve">ct</w:t>
            </w:r>
            <w:r>
              <w:rPr>
                <w:rFonts w:ascii="Arial" w:hAnsi="Arial" w:cs="Arial"/>
                <w:color w:val="000000"/>
                <w:sz w:val="18"/>
                <w:szCs w:val="18"/>
              </w:rPr>
              <w:t xml:space="preserve">), parenkama ne didesnė nei 7</w:t>
            </w:r>
            <w:r>
              <w:rPr>
                <w:rFonts w:ascii="Arial" w:hAnsi="Arial" w:cs="Arial"/>
                <w:color w:val="000000"/>
                <w:sz w:val="18"/>
                <w:szCs w:val="18"/>
                <w:lang w:val="en-US"/>
              </w:rPr>
              <w:t xml:space="preserve"> Ω</w:t>
            </w:r>
            <w:r>
              <w:rPr>
                <w:rFonts w:ascii="Arial" w:hAnsi="Arial" w:cs="Arial"/>
                <w:color w:val="000000"/>
                <w:sz w:val="18"/>
                <w:szCs w:val="18"/>
              </w:rPr>
              <w:t xml:space="preserve">. Konkreti vertė turi būti parenkama ir suderinama su Užsakovu techninio projekto derinimo metu. Tik apsaugų apvijoms/ </w:t>
            </w:r>
            <w:r>
              <w:rPr>
                <w:rFonts w:ascii="Arial" w:hAnsi="Arial" w:cs="Arial"/>
                <w:color w:val="000000"/>
                <w:sz w:val="18"/>
                <w:szCs w:val="18"/>
                <w:lang w:val="en-US"/>
              </w:rPr>
              <w:t xml:space="preserve">Secondary winding resistance (R</w:t>
            </w:r>
            <w:r>
              <w:rPr>
                <w:rFonts w:ascii="Arial" w:hAnsi="Arial" w:cs="Arial"/>
                <w:color w:val="000000"/>
                <w:sz w:val="18"/>
                <w:szCs w:val="18"/>
                <w:vertAlign w:val="subscript"/>
                <w:lang w:val="en-US"/>
              </w:rPr>
              <w:t xml:space="preserve">c</w:t>
            </w:r>
            <w:r>
              <w:rPr>
                <w:rFonts w:ascii="Arial" w:hAnsi="Arial" w:cs="Arial"/>
                <w:color w:val="000000"/>
                <w:sz w:val="18"/>
                <w:szCs w:val="18"/>
                <w:vertAlign w:val="subscript"/>
                <w:lang w:val="en-US"/>
              </w:rPr>
              <w:t xml:space="preserve">t</w:t>
            </w:r>
            <w:r>
              <w:rPr>
                <w:rFonts w:ascii="Arial" w:hAnsi="Arial" w:cs="Arial"/>
                <w:color w:val="000000"/>
                <w:sz w:val="18"/>
                <w:szCs w:val="18"/>
                <w:lang w:val="en-US"/>
              </w:rPr>
              <w:t xml:space="preserve">) to be selected not higher than </w:t>
            </w:r>
            <w:r>
              <w:rPr>
                <w:rFonts w:ascii="Arial" w:hAnsi="Arial" w:cs="Arial"/>
                <w:color w:val="000000"/>
                <w:sz w:val="18"/>
                <w:szCs w:val="18"/>
              </w:rPr>
              <w:t xml:space="preserve">7</w:t>
            </w:r>
            <w:r>
              <w:rPr>
                <w:rFonts w:ascii="Arial" w:hAnsi="Arial" w:cs="Arial"/>
                <w:color w:val="000000"/>
                <w:sz w:val="18"/>
                <w:szCs w:val="18"/>
                <w:lang w:val="en-US"/>
              </w:rPr>
              <w:t xml:space="preserve"> Ω. Exact value shall be selected and agreed with the Customer during coordination of the technical project. Only for protection windings.</w:t>
            </w:r>
          </w:p>
          <w:p>
            <w:pPr>
              <w:spacing/>
              <w:jc w:val="both"/>
              <w:rPr>
                <w:rFonts w:ascii="Arial" w:hAnsi="Arial" w:cs="Arial"/>
                <w:sz w:val="18"/>
                <w:szCs w:val="18"/>
              </w:rPr>
            </w:pPr>
            <w:r>
              <w:rPr>
                <w:rFonts w:ascii="Arial" w:hAnsi="Arial" w:cs="Arial"/>
                <w:sz w:val="18"/>
                <w:szCs w:val="18"/>
              </w:rPr>
              <w:t xml:space="preserve">5.1 – Vardinė pirminės apvijos įtampa/ </w:t>
            </w:r>
            <w:r>
              <w:rPr>
                <w:rFonts w:ascii="Arial" w:hAnsi="Arial" w:cs="Arial"/>
                <w:sz w:val="18"/>
                <w:szCs w:val="18"/>
                <w:lang w:val="en-US"/>
              </w:rPr>
              <w:t xml:space="preserve">Rated primary voltage, (U</w:t>
            </w:r>
            <w:r>
              <w:rPr>
                <w:rFonts w:ascii="Arial" w:hAnsi="Arial" w:cs="Arial"/>
                <w:sz w:val="18"/>
                <w:szCs w:val="18"/>
                <w:vertAlign w:val="subscript"/>
                <w:lang w:val="en-US"/>
              </w:rPr>
              <w:t xml:space="preserve">pr</w:t>
            </w:r>
            <w:r>
              <w:rPr>
                <w:rFonts w:ascii="Arial" w:hAnsi="Arial" w:cs="Arial"/>
                <w:sz w:val="18"/>
                <w:szCs w:val="18"/>
                <w:lang w:val="en-US"/>
              </w:rPr>
              <w:t xml:space="preserve">), V;</w:t>
            </w:r>
          </w:p>
          <w:p>
            <w:pPr>
              <w:spacing/>
              <w:jc w:val="both"/>
              <w:rPr>
                <w:rFonts w:ascii="Arial" w:hAnsi="Arial" w:cs="Arial"/>
                <w:sz w:val="18"/>
                <w:szCs w:val="18"/>
              </w:rPr>
            </w:pPr>
            <w:r>
              <w:rPr>
                <w:rFonts w:ascii="Arial" w:hAnsi="Arial" w:cs="Arial"/>
                <w:sz w:val="18"/>
                <w:szCs w:val="18"/>
              </w:rPr>
              <w:t xml:space="preserve">5.2 – Išvadų žymėjimas/ </w:t>
            </w:r>
            <w:r>
              <w:rPr>
                <w:rFonts w:ascii="Arial" w:hAnsi="Arial" w:cs="Arial"/>
                <w:sz w:val="18"/>
                <w:szCs w:val="18"/>
                <w:lang w:val="en-US"/>
              </w:rPr>
              <w:t xml:space="preserve">Marking of terminals</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5.3 – Vardinė antrinės apvijos įtampa. Parenkama 100/√3 arba 100/ </w:t>
            </w:r>
            <w:r>
              <w:rPr>
                <w:rFonts w:ascii="Arial" w:hAnsi="Arial" w:cs="Arial"/>
                <w:sz w:val="18"/>
                <w:szCs w:val="18"/>
                <w:lang w:val="en-US"/>
              </w:rPr>
              <w:t xml:space="preserve">Rated voltage of secondary winding. To be selected 100/√3 or 100, (U</w:t>
            </w:r>
            <w:r>
              <w:rPr>
                <w:rFonts w:ascii="Arial" w:hAnsi="Arial" w:cs="Arial"/>
                <w:sz w:val="18"/>
                <w:szCs w:val="18"/>
                <w:vertAlign w:val="subscript"/>
                <w:lang w:val="en-US"/>
              </w:rPr>
              <w:t xml:space="preserve">sr</w:t>
            </w:r>
            <w:r>
              <w:rPr>
                <w:rFonts w:ascii="Arial" w:hAnsi="Arial" w:cs="Arial"/>
                <w:sz w:val="18"/>
                <w:szCs w:val="18"/>
                <w:lang w:val="en-US"/>
              </w:rPr>
              <w:t xml:space="preserve">), </w:t>
            </w:r>
            <w:r>
              <w:rPr>
                <w:rFonts w:ascii="Arial" w:hAnsi="Arial" w:cs="Arial"/>
                <w:sz w:val="18"/>
                <w:szCs w:val="18"/>
                <w:lang w:val="en-US"/>
              </w:rPr>
              <w:t xml:space="preserve">V</w:t>
            </w:r>
            <w:r>
              <w:rPr>
                <w:rFonts w:ascii="Arial" w:hAnsi="Arial" w:cs="Arial"/>
                <w:sz w:val="18"/>
                <w:szCs w:val="18"/>
              </w:rPr>
              <w:t xml:space="preserve">;</w:t>
            </w:r>
          </w:p>
          <w:p>
            <w:pPr>
              <w:spacing/>
              <w:jc w:val="both"/>
              <w:rPr>
                <w:rFonts w:ascii="Arial" w:hAnsi="Arial" w:cs="Arial"/>
                <w:sz w:val="18"/>
                <w:szCs w:val="18"/>
              </w:rPr>
            </w:pPr>
            <w:r>
              <w:rPr>
                <w:rFonts w:ascii="Arial" w:hAnsi="Arial" w:cs="Arial"/>
                <w:sz w:val="18"/>
                <w:szCs w:val="18"/>
              </w:rPr>
              <w:t xml:space="preserve">5.4 – Apvijos tikslumo klasė. Matavimo apvijoms parenkama 0.2, apsaugų apvijoms parenkama 3P/ </w:t>
            </w:r>
            <w:r>
              <w:rPr>
                <w:rFonts w:ascii="Arial" w:hAnsi="Arial" w:cs="Arial"/>
                <w:sz w:val="18"/>
                <w:szCs w:val="18"/>
                <w:lang w:val="en-US"/>
              </w:rPr>
              <w:t xml:space="preserve">Accuracy class of winding. To be selected 0.2 for metering windings, 3P for protection </w:t>
            </w:r>
            <w:r>
              <w:rPr>
                <w:rFonts w:ascii="Arial" w:hAnsi="Arial" w:cs="Arial"/>
                <w:sz w:val="18"/>
                <w:szCs w:val="18"/>
                <w:lang w:val="en-US"/>
              </w:rPr>
              <w:t xml:space="preserve">windings</w:t>
            </w:r>
            <w:r>
              <w:rPr>
                <w:rFonts w:ascii="Arial" w:hAnsi="Arial" w:cs="Arial"/>
                <w:sz w:val="18"/>
                <w:szCs w:val="18"/>
              </w:rPr>
              <w:t xml:space="preserve">;</w:t>
            </w:r>
          </w:p>
          <w:p>
            <w:pPr>
              <w:spacing/>
              <w:jc w:val="both"/>
              <w:rPr>
                <w:rFonts w:ascii="Arial" w:hAnsi="Arial" w:cs="Arial"/>
                <w:sz w:val="18"/>
                <w:szCs w:val="18"/>
                <w:lang w:val="en-US"/>
              </w:rPr>
            </w:pPr>
            <w:r>
              <w:rPr>
                <w:rFonts w:ascii="Arial" w:hAnsi="Arial" w:cs="Arial"/>
                <w:sz w:val="18"/>
                <w:szCs w:val="18"/>
              </w:rPr>
              <w:t xml:space="preserve">5.5 – </w:t>
            </w:r>
            <w:r>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Pr>
                <w:rFonts w:ascii="Arial" w:hAnsi="Arial" w:cs="Arial"/>
                <w:sz w:val="18"/>
                <w:szCs w:val="18"/>
              </w:rPr>
              <w:t xml:space="preserve">IEC 61869-3 </w:t>
            </w:r>
            <w:r>
              <w:rPr>
                <w:rFonts w:ascii="Arial" w:hAnsi="Arial" w:cs="Arial"/>
                <w:color w:val="000000"/>
                <w:sz w:val="18"/>
                <w:szCs w:val="18"/>
              </w:rPr>
              <w:t xml:space="preserve">standartinių verčių (50-100 VA arba skaičiavimais pagrįstų didesnių verčių). Techninio (techninio darbo) projekto rengimo metu Projektuotojas visais atvejais privalo atlikti ir pateikti skaičiavimus</w:t>
            </w:r>
            <w:r>
              <w:rPr>
                <w:rFonts w:ascii="Arial" w:hAnsi="Arial" w:cs="Arial"/>
                <w:sz w:val="18"/>
                <w:szCs w:val="18"/>
              </w:rPr>
              <w:t xml:space="preserve"> / </w:t>
            </w:r>
            <w:r>
              <w:rPr>
                <w:rFonts w:ascii="Arial" w:hAnsi="Arial" w:cs="Arial"/>
                <w:sz w:val="18"/>
                <w:szCs w:val="18"/>
                <w:lang w:val="en-US"/>
              </w:rPr>
              <w:t xml:space="preserve">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r>
              <w:rPr>
                <w:rFonts w:ascii="Arial" w:hAnsi="Arial" w:cs="Arial"/>
                <w:sz w:val="18"/>
                <w:szCs w:val="18"/>
                <w:lang w:val="en-US"/>
              </w:rPr>
              <w:t xml:space="preserve">project</w:t>
            </w:r>
            <w:r>
              <w:rPr>
                <w:rFonts w:ascii="Arial" w:hAnsi="Arial" w:cs="Arial"/>
                <w:sz w:val="18"/>
                <w:szCs w:val="18"/>
                <w:lang w:val="en-US"/>
              </w:rPr>
              <w:t xml:space="preserve">;</w:t>
            </w:r>
          </w:p>
          <w:p>
            <w:pPr>
              <w:spacing/>
              <w:jc w:val="both"/>
              <w:rPr>
                <w:rFonts w:ascii="Arial" w:hAnsi="Arial" w:cs="Arial"/>
                <w:color w:val="000000"/>
                <w:sz w:val="18"/>
                <w:szCs w:val="18"/>
                <w:lang w:val="en-US"/>
              </w:rPr>
            </w:pPr>
            <w:r>
              <w:rPr>
                <w:rFonts w:ascii="Arial" w:hAnsi="Arial" w:cs="Arial"/>
                <w:sz w:val="18"/>
                <w:szCs w:val="18"/>
              </w:rPr>
              <w:t xml:space="preserve">5.6 – Antrinės apvijos vardinė šiluminė apribojimo galia</w:t>
            </w:r>
            <w:r>
              <w:rPr>
                <w:rFonts w:ascii="Arial" w:hAnsi="Arial" w:cs="Arial"/>
                <w:sz w:val="18"/>
                <w:szCs w:val="18"/>
              </w:rPr>
              <w:t xml:space="preserve"> </w:t>
            </w:r>
            <w:r>
              <w:rPr>
                <w:rFonts w:ascii="Arial" w:hAnsi="Arial" w:cs="Arial"/>
                <w:sz w:val="18"/>
                <w:szCs w:val="18"/>
                <w:lang w:val="en-US"/>
              </w:rPr>
              <w:t xml:space="preserve">(S</w:t>
            </w:r>
            <w:r>
              <w:rPr>
                <w:rFonts w:ascii="Arial" w:hAnsi="Arial" w:cs="Arial"/>
                <w:sz w:val="18"/>
                <w:szCs w:val="18"/>
                <w:vertAlign w:val="subscript"/>
                <w:lang w:val="en-US"/>
              </w:rPr>
              <w:t xml:space="preserve">th</w:t>
            </w:r>
            <w:r>
              <w:rPr>
                <w:rFonts w:ascii="Arial" w:hAnsi="Arial" w:cs="Arial"/>
                <w:sz w:val="18"/>
                <w:szCs w:val="18"/>
                <w:lang w:val="en-US"/>
              </w:rPr>
              <w:t xml:space="preserve">), VA</w:t>
            </w:r>
            <w:r>
              <w:rPr>
                <w:rFonts w:ascii="Arial" w:hAnsi="Arial" w:cs="Arial"/>
                <w:sz w:val="18"/>
                <w:szCs w:val="18"/>
              </w:rPr>
              <w:t xml:space="preserve">. Turi būti parenkama iš IEC 61869-3 p. 5.5.302 standartinių verčių 25 – 50 – 100 VA arba šių verčių dešimtainių daugiklių/ </w:t>
            </w:r>
            <w:r>
              <w:rPr>
                <w:rFonts w:ascii="Arial" w:hAnsi="Arial" w:cs="Arial"/>
                <w:sz w:val="18"/>
                <w:szCs w:val="18"/>
                <w:lang w:val="en-US"/>
              </w:rPr>
              <w:t xml:space="preserve">Rated thermal limiting output of secondary winding</w:t>
            </w:r>
            <w:r>
              <w:rPr>
                <w:rFonts w:ascii="Arial" w:hAnsi="Arial" w:cs="Arial"/>
                <w:sz w:val="18"/>
                <w:szCs w:val="18"/>
                <w:lang w:val="en-US"/>
              </w:rPr>
              <w:t xml:space="preserve"> </w:t>
            </w:r>
            <w:r>
              <w:rPr>
                <w:rFonts w:ascii="Arial" w:hAnsi="Arial" w:cs="Arial"/>
                <w:sz w:val="18"/>
                <w:szCs w:val="18"/>
                <w:lang w:val="en-US"/>
              </w:rPr>
              <w:t xml:space="preserve">(S</w:t>
            </w:r>
            <w:r>
              <w:rPr>
                <w:rFonts w:ascii="Arial" w:hAnsi="Arial" w:cs="Arial"/>
                <w:sz w:val="18"/>
                <w:szCs w:val="18"/>
                <w:vertAlign w:val="subscript"/>
                <w:lang w:val="en-US"/>
              </w:rPr>
              <w:t xml:space="preserve">th</w:t>
            </w:r>
            <w:r>
              <w:rPr>
                <w:rFonts w:ascii="Arial" w:hAnsi="Arial" w:cs="Arial"/>
                <w:sz w:val="18"/>
                <w:szCs w:val="18"/>
                <w:lang w:val="en-US"/>
              </w:rPr>
              <w:t xml:space="preserve">), VA</w:t>
            </w:r>
            <w:r>
              <w:rPr>
                <w:rFonts w:ascii="Arial" w:hAnsi="Arial" w:cs="Arial"/>
                <w:sz w:val="18"/>
                <w:szCs w:val="18"/>
                <w:lang w:val="en-US"/>
              </w:rPr>
              <w:t xml:space="preserve">. To be selected from standard values 25 – 50 – 100 VA or their decimal multiples according to clause 5.5.302 of IEC 61869-3</w:t>
            </w:r>
            <w:r>
              <w:rPr>
                <w:rFonts w:ascii="Arial" w:hAnsi="Arial" w:cs="Arial"/>
                <w:sz w:val="18"/>
                <w:szCs w:val="18"/>
                <w:lang w:val="en-US"/>
              </w:rPr>
              <w:t xml:space="preserve">.</w:t>
            </w:r>
          </w:p>
        </w:tc>
      </w:tr>
    </w:tbl>
    <w:p w14:paraId="33F3C097">
      <w:pPr>
        <w:spacing/>
        <w:rPr>
          <w:rFonts w:ascii="Arial" w:hAnsi="Arial" w:cs="Arial"/>
          <w:sz w:val="18"/>
          <w:szCs w:val="18"/>
        </w:rPr>
      </w:pPr>
    </w:p>
    <w:sectPr>
      <w:footerReference w:type="default" r:id="rId1"/>
      <w:type w:val="nextPage"/>
      <w:pgSz w:w="16838" w:h="11906"/>
      <w:pgMar w:top="426" w:right="536" w:bottom="567" w:left="1134" w:header="0"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Trebuchet MS">
    <w:charset w:val="0"/>
    <w:family w:val="swiss"/>
    <w:pitch w:val="variable"/>
    <w:sig w:usb0="00000687" w:usb1="00000000" w:usb2="00000000" w:usb3="00000000" w:csb0="0000009F" w:csb1="00000000"/>
  </w:font>
  <w:font w:name="Arial">
    <w:charset w:val="0"/>
    <w:family w:val="swiss"/>
    <w:pitch w:val="variable"/>
    <w:sig w:usb0="E0002EFF" w:usb1="C000785B" w:usb2="00000009" w:usb3="00000000" w:csb0="000001FF" w:csb1="00000000"/>
  </w:font>
  <w:font w:name="Calibri">
    <w:charset w:val="0"/>
    <w:family w:val="swiss"/>
    <w:pitch w:val="variable"/>
    <w:sig w:usb0="E4002EFF" w:usb1="C200247B" w:usb2="00000009" w:usb3="00000000" w:csb0="000001FF" w:csb1="00000000"/>
  </w:font>
  <w:font w:name="Segoe UI">
    <w:charset w:val="0"/>
    <w:family w:val="swiss"/>
    <w:pitch w:val="variable"/>
    <w:sig w:usb0="E4002EFF" w:usb1="C000E47F" w:usb2="00000009" w:usb3="00000000" w:csb0="000001FF" w:csb1="00000000"/>
  </w:font>
  <w:font w:name="TTE2t00">
    <w:altName w:val="Times New Roman"/>
    <w:charset w:val="88"/>
    <w:family w:val="auto"/>
    <w:pitch w:val="default"/>
    <w:sig w:usb0="00000001" w:usb1="08080000" w:usb2="00000010" w:usb3="00000000" w:csb0="00100000" w:csb1="00000000"/>
  </w:font>
  <w:font w:name="Calibri Light">
    <w:charset w:val="0"/>
    <w:family w:val="swiss"/>
    <w:pitch w:val="variable"/>
    <w:sig w:usb0="E4002EFF" w:usb1="C2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rFonts w:ascii="Arial" w:hAnsi="Arial" w:cs="Arial"/>
        <w:sz w:val="18"/>
        <w:szCs w:val="18"/>
      </w:rPr>
      <w:id w:val="217553039"/>
      <w:docPartObj>
        <w:docPartGallery w:val="Page Numbers (Bottom of Page)"/>
        <w:docPartUnique/>
      </w:docPartObj>
    </w:sdtPr>
    <w:sdtEndPr>
      <w:rPr/>
    </w:sdtEndPr>
    <w:sdtContent>
      <w:sdt>
        <w:sdtPr>
          <w:rPr>
            <w:rFonts w:ascii="Arial" w:hAnsi="Arial" w:cs="Arial"/>
            <w:sz w:val="18"/>
            <w:szCs w:val="18"/>
          </w:rPr>
          <w:id w:val="1728636285"/>
          <w:docPartObj>
            <w:docPartGallery w:val="Page Numbers (Top of Page)"/>
            <w:docPartUnique/>
          </w:docPartObj>
        </w:sdtPr>
        <w:sdtEndPr>
          <w:rPr/>
        </w:sdtEndPr>
        <w:sdtContent>
          <w:p w14:paraId="3F6C0BB6">
            <w:pPr>
              <w:pStyle w:val="Footer"/>
              <w:spacing/>
              <w:rPr>
                <w:rFonts w:ascii="Arial" w:hAnsi="Arial" w:cs="Arial"/>
                <w:sz w:val="18"/>
                <w:szCs w:val="18"/>
              </w:rPr>
            </w:pPr>
            <w:r>
              <w:rPr>
                <w:rFonts w:ascii="Arial" w:hAnsi="Arial" w:cs="Arial"/>
                <w:sz w:val="18"/>
                <w:szCs w:val="18"/>
              </w:rPr>
              <w:t xml:space="preserve">Standartiniai techniniai reikalavimai </w:t>
            </w:r>
            <w:r>
              <w:rPr>
                <w:rFonts w:ascii="Arial" w:hAnsi="Arial" w:cs="Arial"/>
                <w:sz w:val="18"/>
                <w:szCs w:val="18"/>
              </w:rPr>
              <w:t xml:space="preserve">33</w:t>
            </w:r>
            <w:r>
              <w:rPr>
                <w:rFonts w:ascii="Arial" w:hAnsi="Arial" w:cs="Arial"/>
                <w:sz w:val="18"/>
                <w:szCs w:val="18"/>
              </w:rPr>
              <w:t xml:space="preserve">0 kV matavimo transformatoriams/</w:t>
            </w:r>
          </w:p>
          <w:p w14:paraId="1C0B8492">
            <w:pPr>
              <w:pStyle w:val="Footer"/>
              <w:spacing/>
              <w:rPr>
                <w:rFonts w:ascii="Arial" w:hAnsi="Arial" w:cs="Arial"/>
                <w:sz w:val="18"/>
                <w:szCs w:val="18"/>
              </w:rPr>
            </w:pPr>
            <w:r>
              <w:rPr>
                <w:rFonts w:ascii="Arial" w:hAnsi="Arial" w:cs="Arial"/>
                <w:sz w:val="18"/>
                <w:szCs w:val="18"/>
                <w:lang w:val="en-US"/>
              </w:rPr>
              <w:t xml:space="preserve">Standard technical requirements for </w:t>
            </w:r>
            <w:r>
              <w:rPr>
                <w:rFonts w:ascii="Arial" w:hAnsi="Arial" w:cs="Arial"/>
                <w:sz w:val="18"/>
                <w:szCs w:val="18"/>
                <w:lang w:val="en-US"/>
              </w:rPr>
              <w:t xml:space="preserve">33</w:t>
            </w:r>
            <w:r>
              <w:rPr>
                <w:rFonts w:ascii="Arial" w:hAnsi="Arial" w:cs="Arial"/>
                <w:sz w:val="18"/>
                <w:szCs w:val="18"/>
                <w:lang w:val="en-US"/>
              </w:rPr>
              <w:t xml:space="preserve">0 kV instrument transformers</w:t>
            </w:r>
          </w:p>
          <w:p w14:paraId="1E54D5E4">
            <w:pPr>
              <w:pStyle w:val="Footer"/>
              <w:spacing/>
              <w:jc w:val="center"/>
              <w:rPr>
                <w:rFonts w:ascii="Arial" w:hAnsi="Arial" w:cs="Arial"/>
                <w:sz w:val="18"/>
                <w:szCs w:val="18"/>
              </w:rPr>
            </w:pPr>
            <w:r>
              <w:rPr>
                <w:rFonts w:ascii="Arial" w:hAnsi="Arial" w:cs="Arial"/>
                <w:sz w:val="18"/>
                <w:szCs w:val="18"/>
              </w:rPr>
              <w:t xml:space="preserve"> </w:t>
            </w:r>
            <w:r>
              <w:rPr>
                <w:rFonts w:ascii="Arial" w:hAnsi="Arial" w:cs="Arial"/>
                <w:b/>
                <w:bCs/>
                <w:sz w:val="18"/>
                <w:szCs w:val="18"/>
              </w:rPr>
              <w:fldChar w:fldCharType="begin"/>
            </w:r>
            <w:r>
              <w:rPr>
                <w:rFonts w:ascii="Arial" w:hAnsi="Arial" w:cs="Arial"/>
                <w:b/>
                <w:bCs/>
                <w:sz w:val="18"/>
                <w:szCs w:val="18"/>
              </w:rPr>
              <w:instrText xml:space="preserve"> PAGE </w:instrText>
            </w:r>
            <w:r>
              <w:rPr>
                <w:rFonts w:ascii="Arial" w:hAnsi="Arial" w:cs="Arial"/>
                <w:b/>
                <w:bCs/>
                <w:sz w:val="18"/>
                <w:szCs w:val="18"/>
              </w:rPr>
              <w:fldChar w:fldCharType="separate"/>
            </w:r>
            <w:r>
              <w:rPr>
                <w:rFonts w:ascii="Arial" w:hAnsi="Arial" w:cs="Arial"/>
                <w:b/>
                <w:bCs/>
                <w:noProof/>
                <w:sz w:val="18"/>
                <w:szCs w:val="18"/>
              </w:rPr>
              <w:t xml:space="preserve">14</w:t>
            </w:r>
            <w:r>
              <w:rPr>
                <w:rFonts w:ascii="Arial" w:hAnsi="Arial" w:cs="Arial"/>
                <w:b/>
                <w:bCs/>
                <w:sz w:val="18"/>
                <w:szCs w:val="18"/>
              </w:rPr>
              <w:fldChar w:fldCharType="end"/>
            </w:r>
            <w:r>
              <w:rPr>
                <w:rFonts w:ascii="Arial" w:hAnsi="Arial" w:cs="Arial"/>
                <w:sz w:val="18"/>
                <w:szCs w:val="18"/>
              </w:rPr>
              <w:t xml:space="preserve"> </w:t>
            </w:r>
            <w:r>
              <w:rPr>
                <w:rFonts w:ascii="Arial" w:hAnsi="Arial" w:cs="Arial"/>
                <w:sz w:val="18"/>
                <w:szCs w:val="18"/>
              </w:rPr>
              <w:t xml:space="preserve">/</w:t>
            </w:r>
            <w:r>
              <w:rPr>
                <w:rFonts w:ascii="Arial" w:hAnsi="Arial" w:cs="Arial"/>
                <w:sz w:val="18"/>
                <w:szCs w:val="18"/>
              </w:rPr>
              <w:t xml:space="preserve"> </w:t>
            </w:r>
            <w:r>
              <w:rPr>
                <w:rFonts w:ascii="Arial" w:hAnsi="Arial" w:cs="Arial"/>
                <w:b/>
                <w:bCs/>
                <w:sz w:val="18"/>
                <w:szCs w:val="18"/>
              </w:rPr>
              <w:fldChar w:fldCharType="begin"/>
            </w:r>
            <w:r>
              <w:rPr>
                <w:rFonts w:ascii="Arial" w:hAnsi="Arial" w:cs="Arial"/>
                <w:b/>
                <w:bCs/>
                <w:sz w:val="18"/>
                <w:szCs w:val="18"/>
              </w:rPr>
              <w:instrText xml:space="preserve"> NUMPAGES  </w:instrText>
            </w:r>
            <w:r>
              <w:rPr>
                <w:rFonts w:ascii="Arial" w:hAnsi="Arial" w:cs="Arial"/>
                <w:b/>
                <w:bCs/>
                <w:sz w:val="18"/>
                <w:szCs w:val="18"/>
              </w:rPr>
              <w:fldChar w:fldCharType="separate"/>
            </w:r>
            <w:r>
              <w:rPr>
                <w:rFonts w:ascii="Arial" w:hAnsi="Arial" w:cs="Arial"/>
                <w:b/>
                <w:bCs/>
                <w:noProof/>
                <w:sz w:val="18"/>
                <w:szCs w:val="18"/>
              </w:rPr>
              <w:t xml:space="preserve">14</w:t>
            </w:r>
            <w:r>
              <w:rPr>
                <w:rFonts w:ascii="Arial" w:hAnsi="Arial" w:cs="Arial"/>
                <w:b/>
                <w:bCs/>
                <w:sz w:val="18"/>
                <w:szCs w:val="18"/>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2A816AE"/>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34F0D64"/>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CA6625A"/>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CF83C9F"/>
    <w:lvl w:ilvl="0">
      <w:start w:val="1"/>
      <w:numFmt w:val="lowerLetter"/>
      <w:suff w:val="tab"/>
      <w:lvlText w:val="%1."/>
      <w:lvlJc w:val="center"/>
      <w:pPr>
        <w:spacing/>
        <w:ind w:left="360" w:hanging="360"/>
      </w:pPr>
      <w:rPr>
        <w:rFonts w:hint="default"/>
      </w:rPr>
    </w:lvl>
    <w:lvl w:ilvl="1">
      <w:start w:val="1"/>
      <w:numFmt w:val="lowerLetter"/>
      <w:suff w:val="tab"/>
      <w:lvlText w:val="%2."/>
      <w:lvlJc w:val="center"/>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5">
    <w:nsid w:val="0E2C7317"/>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10374ED1"/>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23D4FE5"/>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9823B9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F715CFF"/>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20BF0935"/>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1">
    <w:nsid w:val="21A027FA"/>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4">
    <w:nsid w:val="3B783B65"/>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41E372E8"/>
    <w:lvl w:ilvl="0">
      <w:start w:val="1"/>
      <w:numFmt w:val="decimal"/>
      <w:suff w:val="tab"/>
      <w:lvlText w:val="%1."/>
      <w:pPr>
        <w:spacing/>
        <w:ind w:left="720" w:hanging="360"/>
      </w:pPr>
      <w:rPr>
        <w:rFonts w:hint="default"/>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42BE22F3"/>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43CE6689"/>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505E7420"/>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56425CB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573D7549"/>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58562F63"/>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5B296DA9"/>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6D77398B"/>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6FB540D5"/>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7B4F6353"/>
    <w:lvl w:ilvl="0">
      <w:start w:val="1"/>
      <w:numFmt w:val="decimal"/>
      <w:suff w:val="tab"/>
      <w:lvlText w:val="%1."/>
      <w:pPr>
        <w:spacing/>
        <w:ind w:left="720" w:hanging="360"/>
      </w:pPr>
      <w:rPr>
        <w:rFonts w:ascii="Trebuchet MS" w:hAnsi="Trebuchet MS" w:eastAsia="Times New Roman"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7B77521D"/>
    <w:lvl w:ilvl="0">
      <w:start w:val="1"/>
      <w:numFmt w:val="decimal"/>
      <w:suff w:val="tab"/>
      <w:lvlText w:val="3.%1"/>
      <w:lvlJc w:val="right"/>
      <w:pPr>
        <w:spacing/>
        <w:ind w:left="720" w:hanging="360"/>
      </w:pPr>
      <w:rPr>
        <w:rFonts w:hint="default"/>
        <w:lang w:val="lt-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7EE55F53"/>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7F106B33"/>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7F7A2DEB"/>
    <w:lvl w:ilvl="0">
      <w:start w:val="1"/>
      <w:numFmt w:val="decimal"/>
      <w:suff w:val="tab"/>
      <w:lvlText w:val="%1."/>
      <w:pPr>
        <w:spacing/>
        <w:ind w:left="720" w:hanging="360"/>
      </w:pPr>
      <w:rPr>
        <w:rFonts w:ascii="Trebuchet MS" w:hAnsi="Trebuchet MS"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7FCF6FFD"/>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1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pPr>
    <w:rPr>
      <w:sz w:val="20"/>
      <w:szCs w:val="20"/>
    </w:rPr>
  </w:style>
  <w:style w:type="character" w:styleId="CommentTextChar" w:customStyle="1">
    <w:name w:val="Comment Text Char"/>
    <w:basedOn w:val="DefaultParagraphFont"/>
    <w:uiPriority w:val="99"/>
    <w:semiHidden/>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pPr>
      <w:spacing/>
      <w:ind w:firstLine="720"/>
      <w:jc w:val="both"/>
    </w:pPr>
    <w:rPr>
      <w:color w:val="FF0000"/>
      <w:szCs w:val="20"/>
      <w:lang w:eastAsia="en-US"/>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PVIS-975562914-106</_dlc_DocId>
    <_dlc_DocIdUrl xmlns="58896280-883f-49e1-8f2c-86b01e3ff616">
      <Url>https://projektai.intranet.litgrid.eu/PWA/LitPol Link 400 kV skirstyklos rekonstravimas didinant perdavimo tinklo atsparumą/_layouts/15/DocIdRedir.aspx?ID=PVIS-975562914-106</Url>
      <Description>PVIS-975562914-106</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9495F6-571B-431A-B452-074D5C53BE1E}">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2E13FD38-1A82-4752-94D4-93ADC0ADBBEC}">
  <ds:schemaRefs>
    <ds:schemaRef ds:uri="http://schemas.microsoft.com/sharepoint/v3/contenttype/forms"/>
  </ds:schemaRefs>
</ds:datastoreItem>
</file>

<file path=customXml/itemProps3.xml><?xml version="1.0" encoding="utf-8"?>
<ds:datastoreItem xmlns:ds="http://schemas.openxmlformats.org/officeDocument/2006/customXml" ds:itemID="{A6BDE9D4-DE44-47A1-8985-5B6E145FF405}">
  <ds:schemaRefs>
    <ds:schemaRef ds:uri="http://schemas.microsoft.com/sharepoint/events"/>
  </ds:schemaRefs>
</ds:datastoreItem>
</file>

<file path=customXml/itemProps4.xml><?xml version="1.0" encoding="utf-8"?>
<ds:datastoreItem xmlns:ds="http://schemas.openxmlformats.org/officeDocument/2006/customXml" ds:itemID="{5EAFF71B-44D9-487C-951A-A5A950D570BF}"/>
</file>

<file path=docProps/app.xml><?xml version="1.0" encoding="utf-8"?>
<Properties xmlns:vt="http://schemas.openxmlformats.org/officeDocument/2006/docPropsVTypes" xmlns="http://schemas.openxmlformats.org/officeDocument/2006/extended-properties">
  <Template>Normal</Template>
  <TotalTime>124</TotalTime>
  <Pages>14</Pages>
  <Words>6211</Words>
  <Characters>35406</Characters>
  <Application>Microsoft Office Word</Application>
  <DocSecurity>0</DocSecurity>
  <Lines>295</Lines>
  <Paragraphs>83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lastPrinted>2022-04-28T11:57:00Z</cp:lastPrinted>
  <cp:revision>42</cp:revision>
  <dcterms:created xsi:type="dcterms:W3CDTF">2022-05-24T10:07:00Z</dcterms:created>
  <dcterms:modified xsi:type="dcterms:W3CDTF">2024-09-23T11:44:00Z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32ae7b5d-0aac-474b-ae2b-02c331ef2874_Enabled" pid="2">
    <vt:lpstr>true</vt:lpstr>
  </property>
  <property fmtid="{D5CDD505-2E9C-101B-9397-08002B2CF9AE}" name="MSIP_Label_32ae7b5d-0aac-474b-ae2b-02c331ef2874_SetDate" pid="3">
    <vt:lpstr>2021-11-24T12:37:41Z</vt:lpstr>
  </property>
  <property fmtid="{D5CDD505-2E9C-101B-9397-08002B2CF9AE}" name="MSIP_Label_32ae7b5d-0aac-474b-ae2b-02c331ef2874_Method" pid="4">
    <vt:lpstr>Privileged</vt:lpstr>
  </property>
  <property fmtid="{D5CDD505-2E9C-101B-9397-08002B2CF9AE}" name="MSIP_Label_32ae7b5d-0aac-474b-ae2b-02c331ef2874_Name" pid="5">
    <vt:lpwstr>VIDINĖ</vt:lpwstr>
  </property>
  <property fmtid="{D5CDD505-2E9C-101B-9397-08002B2CF9AE}" name="MSIP_Label_32ae7b5d-0aac-474b-ae2b-02c331ef2874_SiteId" pid="6">
    <vt:lpstr>86bcf768-7bcf-4cd6-b041-b219988b7a9c</vt:lpstr>
  </property>
  <property fmtid="{D5CDD505-2E9C-101B-9397-08002B2CF9AE}" name="MSIP_Label_32ae7b5d-0aac-474b-ae2b-02c331ef2874_ActionId" pid="7">
    <vt:lpstr>545ebfdb-4053-4f3c-af35-274d33739ada</vt:lpstr>
  </property>
  <property fmtid="{D5CDD505-2E9C-101B-9397-08002B2CF9AE}" name="MSIP_Label_32ae7b5d-0aac-474b-ae2b-02c331ef2874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fb2e369f-58da-409e-9715-c2bcf6224336</vt:lpstr>
  </property>
</Properties>
</file>